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jpeg" ContentType="image/jpeg"/>
  <Override PartName="/word/footnotes.xml" ContentType="application/vnd.openxmlformats-officedocument.wordprocessingml.footnote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spacing w:lineRule="auto" w:line="360" w:before="200" w:after="200"/>
        <w:jc w:val="center"/>
        <w:rPr>
          <w:rFonts w:ascii="Times New Roman" w:hAnsi="Times New Roman"/>
          <w:sz w:val="24"/>
          <w:szCs w:val="24"/>
        </w:rPr>
      </w:pPr>
      <w:r>
        <w:drawing>
          <wp:anchor behindDoc="1" distT="0" distB="0" distL="0" distR="0" simplePos="0" locked="0" layoutInCell="0" allowOverlap="1" relativeHeight="2">
            <wp:simplePos x="0" y="0"/>
            <wp:positionH relativeFrom="column">
              <wp:posOffset>-1118235</wp:posOffset>
            </wp:positionH>
            <wp:positionV relativeFrom="paragraph">
              <wp:posOffset>-1800225</wp:posOffset>
            </wp:positionV>
            <wp:extent cx="7559675" cy="2418715"/>
            <wp:effectExtent l="0" t="0" r="0" b="0"/>
            <wp:wrapSquare wrapText="largest"/>
            <wp:docPr id="1"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1" descr=""/>
                    <pic:cNvPicPr>
                      <a:picLocks noChangeAspect="1" noChangeArrowheads="1"/>
                    </pic:cNvPicPr>
                  </pic:nvPicPr>
                  <pic:blipFill>
                    <a:blip r:embed="rId2"/>
                    <a:stretch>
                      <a:fillRect/>
                    </a:stretch>
                  </pic:blipFill>
                  <pic:spPr bwMode="auto">
                    <a:xfrm>
                      <a:off x="0" y="0"/>
                      <a:ext cx="7559675" cy="2418715"/>
                    </a:xfrm>
                    <a:prstGeom prst="rect">
                      <a:avLst/>
                    </a:prstGeom>
                  </pic:spPr>
                </pic:pic>
              </a:graphicData>
            </a:graphic>
          </wp:anchor>
        </w:drawing>
      </w:r>
      <w:r>
        <w:rPr>
          <w:rFonts w:cs="Times New Roman"/>
          <w:sz w:val="24"/>
          <w:szCs w:val="24"/>
        </w:rPr>
        <w:t>14º Seminário Nacional Sociologia &amp; Política</w:t>
        <w:br/>
        <w:t>Saberes em Confluência</w:t>
        <w:br/>
        <w:t>GT 10 - Neoliberalismo, Controle Social e Violências Institucionais</w:t>
        <w:br/>
      </w:r>
    </w:p>
    <w:p>
      <w:pPr>
        <w:pStyle w:val="Normal"/>
        <w:spacing w:lineRule="auto" w:line="360" w:before="200" w:after="200"/>
        <w:jc w:val="center"/>
        <w:rPr>
          <w:b/>
          <w:bCs/>
        </w:rPr>
      </w:pPr>
      <w:r>
        <w:rPr>
          <w:rFonts w:cs="Times New Roman"/>
          <w:b/>
          <w:bCs/>
          <w:sz w:val="24"/>
          <w:szCs w:val="24"/>
        </w:rPr>
        <w:t>Viver sob cerco: violência institucional e sobrevivência civil em This War of Mine</w:t>
      </w:r>
    </w:p>
    <w:p>
      <w:pPr>
        <w:pStyle w:val="Normal"/>
        <w:spacing w:lineRule="auto" w:line="360" w:before="200" w:after="200"/>
        <w:jc w:val="center"/>
        <w:rPr>
          <w:rFonts w:ascii="Times New Roman" w:hAnsi="Times New Roman" w:cs="Times New Roman"/>
          <w:sz w:val="24"/>
          <w:szCs w:val="24"/>
        </w:rPr>
      </w:pPr>
      <w:r>
        <w:rPr>
          <w:rFonts w:cs="Times New Roman"/>
          <w:sz w:val="24"/>
          <w:szCs w:val="24"/>
        </w:rPr>
      </w:r>
    </w:p>
    <w:p>
      <w:pPr>
        <w:pStyle w:val="Normal"/>
        <w:spacing w:lineRule="auto" w:line="360" w:before="0" w:after="0"/>
        <w:jc w:val="right"/>
        <w:rPr/>
      </w:pPr>
      <w:r>
        <w:rPr>
          <w:rFonts w:cs="Times New Roman"/>
          <w:sz w:val="24"/>
          <w:szCs w:val="24"/>
        </w:rPr>
        <w:t>César Alexandre da Silva Aprile</w:t>
      </w:r>
      <w:r>
        <w:rPr>
          <w:rStyle w:val="Ncoradanotaderodap"/>
          <w:rFonts w:cs="Times New Roman"/>
          <w:sz w:val="24"/>
          <w:szCs w:val="24"/>
        </w:rPr>
        <w:footnoteReference w:id="2"/>
      </w:r>
    </w:p>
    <w:p>
      <w:pPr>
        <w:pStyle w:val="Normal"/>
        <w:spacing w:lineRule="auto" w:line="360" w:before="0" w:after="0"/>
        <w:jc w:val="right"/>
        <w:rPr>
          <w:rFonts w:ascii="Times New Roman" w:hAnsi="Times New Roman" w:cs="Times New Roman"/>
          <w:sz w:val="24"/>
          <w:szCs w:val="24"/>
        </w:rPr>
      </w:pPr>
      <w:r>
        <w:rPr>
          <w:rFonts w:cs="Times New Roman"/>
          <w:sz w:val="24"/>
          <w:szCs w:val="24"/>
        </w:rPr>
      </w:r>
    </w:p>
    <w:p>
      <w:pPr>
        <w:pStyle w:val="Ttulo1"/>
        <w:rPr/>
      </w:pPr>
      <w:r>
        <w:rPr/>
        <w:t>INTRODUÇÃO</w:t>
      </w:r>
    </w:p>
    <w:p>
      <w:pPr>
        <w:pStyle w:val="Normal"/>
        <w:rPr/>
      </w:pPr>
      <w:r>
        <w:rPr/>
        <w:t>A guerra, enquanto fenômeno histórico e social, tem sido amplamente representada por narrativas centradas em estratégias militares, feitos heroicos e disputas geopolíticas. Contudo, tais abordagens tendem a marginalizar a experiência civil, especialmente em contextos de cerco prolongado, nos quais a violência não se restringe ao confronto armado direto, mas se manifesta de forma difusa na organização da vida cotidiana. O jogo digital This War of Mine (2014), desenvolvido pela 11 bit studios, insere-se como uma inflexão nesse campo ao deslocar o foco da ação militar para a sobrevivência civil, propondo uma experiência interativa centrada na precariedade, na escassez e em dilemas morais contínuos (Gieba, 2019 e Maiberg, 2014).</w:t>
      </w:r>
    </w:p>
    <w:p>
      <w:pPr>
        <w:pStyle w:val="Normal"/>
        <w:rPr/>
      </w:pPr>
      <w:r>
        <w:rPr/>
        <w:t>Inspirado nas experiências históricas do Cerco de Sarajevo (1992–1996), o jogo não busca reproduzir fielmente um evento específico, mas opera como uma lente interpretativa que simula, de maneira não romantizada, as condições extremas vividas por populações civis em cidades sitiadas. Essa simulação se constrói por meio de mecânicas que transformam necessidades básicas, como alimentação, abrigo e cuidado médico, em problemas permanentes de gestão, evidenciando como a guerra reorganiza a vida social a partir da escassez e da instabilidade (Sterczewski, 2016).</w:t>
      </w:r>
    </w:p>
    <w:p>
      <w:pPr>
        <w:pStyle w:val="Normal"/>
        <w:rPr/>
      </w:pPr>
      <w:r>
        <w:rPr/>
        <w:t>Nesse contexto, a experiência proposta por This War of Mine permite entrever uma racionalidade de sobrevivência que se aproxima de dinâmicas associadas ao neoliberalismo, ainda que não explicitamente nomeadas. A centralidade da autogestão, na qual cada personagem se torna responsável por administrar seus próprios recursos, emoções e riscos, remete à transferência da responsabilidade coletiva para o indivíduo, característica central do neoliberalismo enquanto racionalidade política (Brown, 2015; Foucault, 2008). A escassez de recursos, por sua vez, introduz uma dinâmica próxima à lógica de mercado, na qual escolhas são constantemente calculadas em termos de custo, benefício e risco, inclusive quando envolvem dilemas éticos (Becker, 1993).</w:t>
      </w:r>
    </w:p>
    <w:p>
      <w:pPr>
        <w:pStyle w:val="Normal"/>
        <w:rPr/>
      </w:pPr>
      <w:r>
        <w:rPr/>
        <w:t>Paralelamente, o cenário de cerco evidencia formas de controle social que não dependem exclusivamente da presença direta de instituições estatais coercitivas, mas operam por meio da administração da precariedade(Foucault, 2008). A fome, o medo e a necessidade tornam-se dispositivos de regulação da conduta, condicionando decisões e restringindo possibilidades de ação. Logo, o controle social emerge não apenas como imposição externa, mas como efeito internalizado das condições materiais de existência, aproximando-se de leituras contemporâneas que enfatizam formas indiretas de governamentalidade (Foucault, 2008; Dean, 2009).</w:t>
      </w:r>
    </w:p>
    <w:p>
      <w:pPr>
        <w:pStyle w:val="Normal"/>
        <w:rPr/>
      </w:pPr>
      <w:r>
        <w:rPr/>
        <w:t>É nesse ponto que a noção de violência institucional e estrutural se torna central. Em This War of Mine, a violência não se limita à presença de combates ou ataques armados, mas se expressa na ausência: falta de alimentos, escassez de medicamentos, impossibilidade de garantir segurança e dignidade. Tal perspectiva dialoga diretamente com o conceito de violência estrutural, entendido como formas de sofrimento social produzidas por arranjos institucionais e desigualdades sistemáticas (Galtung, 1969). Assim, a violência se inscreve na própria organização da escassez, sendo continuamente reproduzida pelas condições do cerco.</w:t>
      </w:r>
    </w:p>
    <w:p>
      <w:pPr>
        <w:pStyle w:val="Normal"/>
        <w:rPr/>
      </w:pPr>
      <w:r>
        <w:rPr/>
        <w:t>Ao articular essas dimensões por meio de uma narrativa interativa, o jogo se configura como um espaço privilegiado de reflexão crítica, no qual a mídia digital opera como um laboratório de experiência social. Conforme argumenta Sayilgan(2017), jogos digitais podem constituir formas de subjetivação crítica ao posicionar o jogador como agente inserido em estruturas de sofrimento e decisão. Diferentemente de abordagens centradas exclusivamente em análises institucionais ou normativas, This War of Mine permite acessar a dimensão subjetiva da guerra, colocando o jogador diante de decisões que tensionam limites éticos, afetivos e sociais.</w:t>
      </w:r>
    </w:p>
    <w:p>
      <w:pPr>
        <w:pStyle w:val="Normal"/>
        <w:rPr/>
      </w:pPr>
      <w:r>
        <w:rPr/>
      </w:r>
    </w:p>
    <w:p>
      <w:pPr>
        <w:pStyle w:val="Ttulo1"/>
        <w:rPr/>
      </w:pPr>
      <w:r>
        <w:rPr/>
        <w:t>O CERCO DE SARAJEVO</w:t>
      </w:r>
    </w:p>
    <w:p>
      <w:pPr>
        <w:pStyle w:val="Normal"/>
        <w:rPr/>
      </w:pPr>
      <w:r>
        <w:rPr/>
        <w:t xml:space="preserve">Mais do que um evento isolado, o Cerco de Sarajevo deve ser compreendido como expressão de um processo mais amplo de desintegração estatal e reconfiguração violenta das relações políticas no espaço da República Socialista Federativa da Iugoslávia. Ao longo da década de 1990, o colapso desse Estado multinacional deu origem às Guerras da Iugoslávia, marcadas por disputas territoriais e movimentos de independência entre suas repúblicas. Esse processo remonta ao período posterior à morte de Josip Broz Tito, quando as tensões internas passaram a evidenciar as fragilidades da estrutura federativa (Judt, 2008, p. 659). </w:t>
      </w:r>
    </w:p>
    <w:p>
      <w:pPr>
        <w:pStyle w:val="Normal"/>
        <w:rPr/>
      </w:pPr>
      <w:r>
        <w:rPr/>
        <w:t>Nesse contexto, a ascensão de Slobodan Milošević, associada à mobilização de discursos nacionalistas e ao apoio do Exército Popular Iugoslavo, contribuiu para a intensificação dos conflitos e para o desencadeamento de processos de secessão envolvendo diferentes grupos nacionais (Armatta, 2010, p. 121). Parte significativa desses discursos foi influenciada pelo chamado Memorando da Academia Sérvia de Ciências e Artes, documento que denunciava uma suposta marginalização dos sérvios no interior da Iugoslávia e apontava desigualdades no desenvolvimento entre as repúblicas (Lampe, 2000, p. 347).</w:t>
      </w:r>
    </w:p>
    <w:p>
      <w:pPr>
        <w:pStyle w:val="Normal"/>
        <w:rPr/>
      </w:pPr>
      <w:r>
        <w:rPr/>
        <w:t>Embora esse tipo de formulação não tenha sido assumido de maneira homogênea pelas lideranças políticas sérvias, o memorando contribuiu para a difusão de uma narrativa nacionalista que seria posteriormente mobilizada no contexto de crise do Estado iugoslavo (Gödl, 2007, p. 50). A partir do final da década de 1980, lideranças como Slobodan Milošević e Radovan Karadžić passaram a instrumentalizar elementos desse discurso, articulando apelos nacionalistas que dialogavam com tradições políticas sérvias e com estratégias de mobilização em meio ao enfraquecimento da Liga dos Comunistas da Iugoslávia (Crampton, 1997, p. 387–388).</w:t>
      </w:r>
    </w:p>
    <w:p>
      <w:pPr>
        <w:pStyle w:val="Normal"/>
        <w:rPr/>
      </w:pPr>
      <w:r>
        <w:rPr/>
        <w:t>Nesse contexto, Slobodan Milošević e seus aliados políticos passaram a se mobilizar diante da escalada da crise que se alastrava pela Iugoslávia, iniciada com a independência da Eslovênia no contexto da chamada Guerra dos Dez Dias (Clapham, 1996), e rapidamente expandida para outras regiões, resultando em um cenário de fragmentação política e conflito armado. Nesse processo, a República Federal da Iugoslávia, composta por Sérvia e Montenegro, manteve-se como principal continuidade institucional do antigo Estado, atuando tanto diretamente quanto por meio de alianças políticas e militares nos conflitos em curso.</w:t>
      </w:r>
    </w:p>
    <w:p>
      <w:pPr>
        <w:pStyle w:val="Normal"/>
        <w:rPr/>
      </w:pPr>
      <w:r>
        <w:rPr/>
        <w:t>É nesse cenário que emergem formações políticas como a República Srpska, na Bósnia e Herzegovina, e a República Sérvia da Krajina, cujos projetos estavam associados a processos de limpeza étnica e à tentativa de reconfiguração demográfica de territórios estratégicos (Hartmann, 2007). Tais formações contaram com forte apoio político e militar da liderança sérvia sob Slobodan Milošević, evidenciando a articulação entre projetos nacionais, estratégias territoriais e práticas sistemáticas de violência.</w:t>
      </w:r>
    </w:p>
    <w:p>
      <w:pPr>
        <w:pStyle w:val="Normal"/>
        <w:rPr/>
      </w:pPr>
      <w:r>
        <w:rPr/>
        <w:t>No interior da Guerra da Bósnia, a cidade de Sarajevo assumiu centralidade estratégica e simbólica. Submetida a um cerco prolongado por forças posicionadas nas colinas circundantes, estimadas em cerca de 13 mil combatentes (Bassiouni, 1994), a capital bósnia tornou-se palco de bombardeios contínuos, ataques deliberados contra civis e da interrupção sistemática de recursos essenciais.</w:t>
      </w:r>
    </w:p>
    <w:p>
      <w:pPr>
        <w:pStyle w:val="Normal"/>
        <w:rPr/>
      </w:pPr>
      <w:r>
        <w:rPr/>
        <w:t>O Cerco de Sarajevo é oficialmente datado de 5 de abril de 1992; contudo, evidências indicam que, desde o final de março do mesmo ano, a cidade já se encontrava sob ataque e progressivo isolamento. Em 29 de março de 1992, forças do Exército Popular Iugoslavo (EPI), em conjunto com formações paramilitares sérvias, iniciaram operações de cerco e bombardeio contra a capital bósnia (Judah, 2008, pp.320–321).</w:t>
      </w:r>
    </w:p>
    <w:p>
      <w:pPr>
        <w:pStyle w:val="Normal"/>
        <w:rPr/>
      </w:pPr>
      <w:r>
        <w:rPr/>
        <w:t>A formalização do cerco ocorreu poucos dias depois, em 5 de abril, no contexto da tomada do Aeroporto de Sarajevo por tropas do EPI, episódio que consolidou o isolamento estratégico da cidade (Cauti, 2021). A partir desse momento, Sarajevo passou a ser submetida a uma campanha sistemática de ataques, caracterizada pelo uso contínuo de artilharia pesada, posições elevadas nas colinas circundantes e incursões com unidades blindadas.</w:t>
      </w:r>
    </w:p>
    <w:p>
      <w:pPr>
        <w:pStyle w:val="Normal"/>
        <w:rPr/>
      </w:pPr>
      <w:r>
        <w:rPr/>
        <w:t>O cerco não se limitou ao isolamento territorial, mas configurou uma estratégia de pressão militar contínua, na qual o uso prolongado da violência e a interrupção de recursos essenciais produziram um ambiente de desgaste progressivo da população civil. Sob a liderança do general Ratko Mladić, as forças cercantes articularam bombardeios constantes e operações terrestres com o objetivo de avançar gradualmente sobre a capital (Burg e Shoup, 2000, p. 131).</w:t>
      </w:r>
    </w:p>
    <w:p>
      <w:pPr>
        <w:pStyle w:val="Normal"/>
        <w:rPr/>
      </w:pPr>
      <w:r>
        <w:rPr/>
        <w:t>Nessas condições, a violência institucional perpetrada pela República Srpska, com apoio material e bélico da República Federal da Iugoslávia, contra a população de Sarajevo, pode ser analisada à luz da noção de biopolítica em Michel Foucault, entendida como o domínio da vida sobre o qual o poder estabelece mecanismos de controle. Nesse sentido, Achille Mbembe, em seu ensaio Necropolítica, amplia esse quadro analítico ao deslocar o foco para as formas pelas quais o poder passa a gerir não apenas a vida, mas também a morte, evidenciando contextos em que populações inteiras são submetidas a condições de existência precárias e à exposição contínua à violência (Mbembe, 2018a, p. 5–6; Alves, 2021, p. 212).</w:t>
      </w:r>
    </w:p>
    <w:p>
      <w:pPr>
        <w:pStyle w:val="Normal"/>
        <w:rPr/>
      </w:pPr>
      <w:r>
        <w:rPr/>
        <w:t>Como sintetiza Mbembe (2018a, p. 6), a questão central torna-se compreender “sob quais condições práticas se exerce o poder de matar, deixar viver ou expor à morte”, deslocando a análise do campo normativo para as condições concretas de exercício do poder. Nesse ponto, a leitura proposta por Alves (2021) indica que, embora a biopolítica foucaultiana ofereça ferramentas relevantes, ela se mostra insuficiente para explicar contextos em que a guerra se estrutura como mecanismo central de produção da morte, exigindo, portanto, uma ampliação analítica.</w:t>
      </w:r>
    </w:p>
    <w:p>
      <w:pPr>
        <w:pStyle w:val="Normal"/>
        <w:rPr/>
      </w:pPr>
      <w:r>
        <w:rPr/>
        <w:t>Essa ampliação permite estabelecer um ponto de convergência com formulações clássicas sobre a relação entre guerra e política. Se, em Carl von Clausewitz, a guerra é compreendida como continuação da política por outros meios, e em Michel Foucault essa relação é tensionada ao evidenciar a permanência da guerra no interior das relações de poder, em Mao Zedong encontra-se uma formulação que explicita a unidade dialética entre esses elementos, ao afirmar que a guerra constitui uma forma específica de ação política, dotada de características próprias, mas inseparável dos objetivos e interesses que a orientam (Zedong, 1938).</w:t>
      </w:r>
    </w:p>
    <w:p>
      <w:pPr>
        <w:pStyle w:val="Normal"/>
        <w:rPr/>
      </w:pPr>
      <w:r>
        <w:rPr/>
        <w:t>Nesse sentido, o caso de Sarajevo evidencia como guerra e política não se opõem, mas se articulam na produção de formas concretas de violência institucional, nas quais a decisão sobre a vida e a morte ultrapassa o ato imediato da execução e se inscreve em uma cadeia mais ampla de responsabilidades políticas, militares e estruturais.</w:t>
      </w:r>
    </w:p>
    <w:p>
      <w:pPr>
        <w:pStyle w:val="Normal"/>
        <w:rPr/>
      </w:pPr>
      <w:r>
        <w:rPr/>
        <w:t>Essa dinâmica pode ser observada já nos momentos iniciais do conflito. Em 1992, um atirador abriu fogo durante um casamento na região de Baščaršija, resultando na morte do pai do noivo e ferindo um padre ortodoxo (Kumar, 1999, p. 38). O episódio ganha maior complexidade ao se considerar que se tratava de um casamento sérvio-bósnio, marcado pela presença de símbolos nacionais, como bandeiras sérvias, em um contexto de crescente tensão política e identitária (Judah, 2008, pp.320-321).</w:t>
      </w:r>
    </w:p>
    <w:p>
      <w:pPr>
        <w:pStyle w:val="Normal"/>
        <w:rPr/>
      </w:pPr>
      <w:r>
        <w:rPr/>
        <w:t>Embora não se trate de um evento isolado ou suficiente para explicar a eclosão do conflito, tal episódio pode ser compreendido como expressão de um ambiente já profundamente tensionado por discursos nacionalistas e por processos de mobilização política que, ao longo da década de 1980, foram intensificados por lideranças como Slobodan Milošević, contribuindo para a radicalização das relações sociais e para a transformação de identidades em marcadores de conflito.</w:t>
      </w:r>
    </w:p>
    <w:p>
      <w:pPr>
        <w:pStyle w:val="Normal"/>
        <w:rPr/>
      </w:pPr>
      <w:r>
        <w:rPr/>
        <w:t>Além disso, o conflito intensificou-se progressivamente, articulando-se a partir de centros de poder como Belgrado, então capital da República Federal da Iugoslávia, e resultando na disputa e controle de pontos estratégicos em Sarajevo. Nesse contexto, o aeroporto da cidade foi tomado pelo Exército Popular Iugoslavo em 5 de abril de 1992, assumindo papel central na dinâmica do conflito (TRIBUNAL PENAL INTERNACIONAL PARA A EX-IUGOSLÁVIA, 2006).</w:t>
      </w:r>
    </w:p>
    <w:p>
      <w:pPr>
        <w:pStyle w:val="Normal"/>
        <w:rPr/>
      </w:pPr>
      <w:r>
        <w:rPr/>
        <w:t>Nos dias que se seguiram ao início das hostilidades, a violência passou a se intensificar e a atingir diretamente a população civil. Um dos episódios mais emblemáticos ocorreu em 3 de maio de 1992, quando um comboio do Exército Popular Iugoslavo, em retirada, foi atacado na Rua Dobrovoljačka Street, em Sarajevo (B92, 2011). O incidente, frequentemente interpretado como uma retaliação à detenção do presidente da Bósnia e Herzegovina, Alija Izetbegović no dia anterior, rapidamente se transformou em um confronto desorganizado e violento, com troca de tiros em meio a veículos civis (Burns, 1992).</w:t>
      </w:r>
    </w:p>
    <w:p>
      <w:pPr>
        <w:pStyle w:val="Normal"/>
        <w:rPr/>
      </w:pPr>
      <w:r>
        <w:rPr/>
        <w:t xml:space="preserve">Testemunhos oculares evidenciam a gravidade da situação. O general Lewis MacKenzie, então comandante das forças de paz da ONU presente no comboio, descreveu a cena nos seguintes termos: </w:t>
      </w:r>
    </w:p>
    <w:p>
      <w:pPr>
        <w:pStyle w:val="Normal"/>
        <w:widowControl/>
        <w:suppressAutoHyphens w:val="true"/>
        <w:bidi w:val="0"/>
        <w:spacing w:lineRule="auto" w:line="240" w:before="0" w:after="0"/>
        <w:ind w:left="2268" w:right="0" w:hanging="0"/>
        <w:jc w:val="both"/>
        <w:rPr>
          <w:sz w:val="20"/>
          <w:szCs w:val="20"/>
        </w:rPr>
      </w:pPr>
      <w:r>
        <w:rPr>
          <w:sz w:val="20"/>
          <w:szCs w:val="20"/>
        </w:rPr>
        <w:t>“</w:t>
      </w:r>
      <w:r>
        <w:rPr>
          <w:sz w:val="20"/>
          <w:szCs w:val="20"/>
        </w:rPr>
        <w:t>Eu podia ver os soldados da Defesa Territorial enfiando os fuzis pelas janelas dos carros de civis, que faziam parte do comboio, e atirando [...] Vi sangue escorrer pelos para-brisas. Foi definitivamente o pior dia da minha vida.”(MACKENZIE, 1993).</w:t>
      </w:r>
    </w:p>
    <w:p>
      <w:pPr>
        <w:pStyle w:val="Normal"/>
        <w:rPr/>
      </w:pPr>
      <w:r>
        <w:rPr/>
        <w:t>Este relato explicita como, já nos primeiros momentos do Cerco de Sarajevo, a distinção entre combatentes e civis se tornava progressivamente difusa, inserindo a população no centro da dinâmica de violência.</w:t>
      </w:r>
    </w:p>
    <w:p>
      <w:pPr>
        <w:pStyle w:val="Normal"/>
        <w:rPr/>
      </w:pPr>
      <w:r>
        <w:rPr/>
        <w:t>Ao longo de 1992, os ataques contra civis tornaram-se cada vez mais alarmantes, a ponto de a Organização das Nações Unidas impor sanções após os bombardeios de 24, 26, 28 e 29 de maio, atribuídos a Ratko Mladić, que resultaram em baixas civis (Burg e Shoup, 1999, p. 132). Ainda nesse momento inicial do conflito, observa-se a tentativa de intervenção internacional por meio de um cessar-fogo em 20 de junho, que visava permitir à ONU assumir o controle do aeroporto de Sarajevo para a evacuação humanitária de civis.</w:t>
      </w:r>
    </w:p>
    <w:p>
      <w:pPr>
        <w:pStyle w:val="Normal"/>
        <w:rPr/>
      </w:pPr>
      <w:r>
        <w:rPr/>
        <w:t>No entanto, tais iniciativas mostraram-se limitadas em sua eficácia, uma vez que o cessar-fogo foi rapidamente rompido, com ambos os lados disputando o controle do território entre a cidade e o aeroporto (Burg e Shoup, 1999, p. 132), evidenciando as dificuldades de contenção da violência mesmo diante de esforços internacionais.</w:t>
      </w:r>
    </w:p>
    <w:p>
      <w:pPr>
        <w:pStyle w:val="Normal"/>
        <w:rPr/>
      </w:pPr>
      <w:r>
        <w:rPr/>
        <w:t>Nesses exemplos, ainda restritos aos primeiros meses do Cerco de Sarajevo, já se evidenciam dinâmicas que dialogam diretamente com a formulação de Achille Mbembe ao ultrapassar os limites da análise foucaultiana da biopolítica e destacar seu funcionamento negativo, isto é, enquanto poder de morte. Como afirma o autor:</w:t>
      </w:r>
    </w:p>
    <w:p>
      <w:pPr>
        <w:pStyle w:val="Normal"/>
        <w:widowControl/>
        <w:suppressAutoHyphens w:val="true"/>
        <w:bidi w:val="0"/>
        <w:spacing w:lineRule="auto" w:line="240" w:before="0" w:after="0"/>
        <w:ind w:left="2268" w:right="0" w:hanging="0"/>
        <w:jc w:val="both"/>
        <w:rPr>
          <w:sz w:val="20"/>
          <w:szCs w:val="20"/>
        </w:rPr>
      </w:pPr>
      <w:r>
        <w:rPr>
          <w:sz w:val="20"/>
          <w:szCs w:val="20"/>
        </w:rPr>
        <w:t>“</w:t>
      </w:r>
      <w:r>
        <w:rPr>
          <w:sz w:val="20"/>
          <w:szCs w:val="20"/>
        </w:rPr>
        <w:t>Neste ensaio, propus que as formas contemporâneas que subjugam a vida ao poder de morte (necropolítica) reconfiguram profundamente as relações entre resistência, sacrifício e terror. Tentei demonstrar que a noção de biopoder é insuficiente para dar conta das formas contemporâneas de submissão da vida ao poder da morte. Além disso, propus a noção de necropolítica e de necropoder para dar conta das várias maneiras pelas quais, em nosso mundo contemporâneo, as armas de fogo são dispostas com o objetivo de provocar a destruição máxima de pessoas e criar ‘mundos de morte’, formas únicas e novas de existência social, nas quais vastas populações são submetidas a condições de vida que lhes conferem o estatuto de ‘mortos-vivos’.” (Mbembe, 2018a, p. 71)</w:t>
      </w:r>
    </w:p>
    <w:p>
      <w:pPr>
        <w:pStyle w:val="Normal"/>
        <w:rPr/>
      </w:pPr>
      <w:r>
        <w:rPr/>
        <w:t>No caso de Sarajevo, a intensificação do terror e da violência evidencia justamente esse processo de submissão da vida a condições limite de existência. Contudo, mais do que uma simples aplicação do conceito de “mortos-vivos”, o que se observa é a constituição de um campo ampliado de violência, no qual a distinção entre alvos militares e civis se dissolve, e a própria população passa a ser integrada à lógica do conflito como objeto direto de destruição e controle.</w:t>
      </w:r>
    </w:p>
    <w:p>
      <w:pPr>
        <w:pStyle w:val="Normal"/>
        <w:rPr/>
      </w:pPr>
      <w:r>
        <w:rPr/>
        <w:t>Nesse sentido, a violência deixa de se restringir ao confronto entre forças militares e passa a operar de maneira difusa, atingindo civis de diferentes pertencimentos e inclusive agentes envolvidos em iniciativas humanitárias. Tal configuração evidencia não apenas a radicalização da violência, mas sua institucionalização em múltiplos níveis, articulando diferentes atores e centros de poder, incluindo Belgrado, a República Srpska e também estruturas internas da própria Bósnia e Herzegovina, na produção de condições sistemáticas de exposição à morte.</w:t>
      </w:r>
    </w:p>
    <w:p>
      <w:pPr>
        <w:pStyle w:val="Normal"/>
        <w:rPr/>
      </w:pPr>
      <w:r>
        <w:rPr/>
        <w:t xml:space="preserve">Nessas condições, Sarajevo, entre 1992 e 1996, foi submetida a um contexto de extrema violência e colapso das condições de vida, marcado por bombardeios, cerco prolongado e reiteradas denúncias de violações de direitos humanos. Mais recentemente, tais episódios voltaram a ser objeto de investigação, incluindo alegações de participação estrangeira em práticas descritas pela imprensa como “safáris humanos”. </w:t>
      </w:r>
    </w:p>
    <w:p>
      <w:pPr>
        <w:pStyle w:val="Normal"/>
        <w:widowControl/>
        <w:suppressAutoHyphens w:val="true"/>
        <w:bidi w:val="0"/>
        <w:spacing w:lineRule="auto" w:line="240" w:before="0" w:after="0"/>
        <w:ind w:left="2268" w:right="0" w:hanging="0"/>
        <w:jc w:val="both"/>
        <w:rPr>
          <w:sz w:val="20"/>
          <w:szCs w:val="20"/>
        </w:rPr>
      </w:pPr>
      <w:r>
        <w:rPr>
          <w:sz w:val="20"/>
          <w:szCs w:val="20"/>
        </w:rPr>
        <w:t>“</w:t>
      </w:r>
      <w:r>
        <w:rPr>
          <w:sz w:val="20"/>
          <w:szCs w:val="20"/>
        </w:rPr>
        <w:t>O Ministério Público de Milão abriu uma investigação sobre alegações de que cidadãos italianos viajaram para a Bósnia-Herzegovina para realizar uma espécie de ‘safári de atiradores’ durante a guerra no início da década de 1990.</w:t>
      </w:r>
    </w:p>
    <w:p>
      <w:pPr>
        <w:pStyle w:val="Normal"/>
        <w:widowControl/>
        <w:suppressAutoHyphens w:val="true"/>
        <w:bidi w:val="0"/>
        <w:spacing w:lineRule="auto" w:line="240" w:before="0" w:after="0"/>
        <w:ind w:left="2268" w:right="0" w:hanging="0"/>
        <w:jc w:val="both"/>
        <w:rPr>
          <w:sz w:val="20"/>
          <w:szCs w:val="20"/>
        </w:rPr>
      </w:pPr>
      <w:r>
        <w:rPr>
          <w:sz w:val="20"/>
          <w:szCs w:val="20"/>
        </w:rPr>
        <w:t>Segundo a acusação, italianos e outros teriam pagado grandes somas para atirar em civis na cidade sitiada de Sarajevo.”(RAINSFORD, 2025)</w:t>
      </w:r>
    </w:p>
    <w:p>
      <w:pPr>
        <w:pStyle w:val="Normal"/>
        <w:rPr/>
      </w:pPr>
      <w:r>
        <w:rPr/>
        <w:t>Investigações jornalísticas recentes também indicam que tais deslocamentos teriam ocorrido com o auxílio de intermediários ligados a estruturas militares locais, incluindo setores associados às forças sérvio-bósnias, então vinculadas à liderança de Radovan Karadžić (Giuffrida e Willsher, 2025). Ainda que tais alegações permaneçam sob apuração, elas reforçam a permanência do conflito na memória política e jurídica contemporânea, evidenciando como a violência do cerco segue sendo objeto de disputa narrativa e investigação histórica.</w:t>
      </w:r>
    </w:p>
    <w:p>
      <w:pPr>
        <w:pStyle w:val="Normal"/>
        <w:rPr/>
      </w:pPr>
      <w:r>
        <w:rPr/>
        <w:t>A partir de 1994, com o agravamento da crise humanitária em Sarajevo e a repercussão internacional dos massacres no mercado de Markale, a guerra passa a incorporar de forma mais direta a intervenção da comunidade internacional (Bethlehem e Weller, 1997, p.53). Sob coordenação da Organização das Nações Unidas, a OTAN inicia operações aéreas contra posições militares responsáveis por ataques à população civil, acompanhadas de ultimatos para retirada de armamentos pesados da zona ao redor da cidade (Bethlehem e Weller, 1997, p.53). Essa inflexão marca uma mudança na dinâmica do conflito, com impacto imediato na redução temporária das baixas e na reconfiguração da correlação de forças no terreno.</w:t>
      </w:r>
    </w:p>
    <w:p>
      <w:pPr>
        <w:pStyle w:val="Normal"/>
        <w:rPr/>
      </w:pPr>
      <w:r>
        <w:rPr/>
        <w:t>Ao longo de 1995, contudo, o conflito se intensifica novamente, com violações de acordos de exclusão de armas, ataques a forças da ONU e a retomada de bombardeios coordenados pela OTAN no âmbito da Operação Força Deliberada. A escalada culmina após o segundo massacre de Markale, quando os ataques aéreos são retomados e combinados com ofensivas terrestres bósnias e croatas, levando à progressiva perda de posições das forças sérvio-bósnias associadas à liderança de Radovan Karadžić (Gazzini, 2005, p.69; Silber e Little, 1996). Em outubro de 1995, um cessar-fogo é alcançado, e o Acordo de Dayton consolida o fim formal do conflito, ainda que episódios de violência isolada persistam até o início de 1996, quando a retirada definitiva das forças ao redor de Sarajevo encerra o cerco e conclui o processo de estabilização militar na região, estabelecendo uma Bósnia dividida em duas entidades: a Federação Croato-Muçulmana e a República Srpska, sob supervisão internacional (Finlan, 2004).</w:t>
      </w:r>
    </w:p>
    <w:p>
      <w:pPr>
        <w:pStyle w:val="Corpodotexto"/>
        <w:rPr/>
      </w:pPr>
      <w:r>
        <w:rPr/>
        <w:t>Nesse contexto, o jogo</w:t>
      </w:r>
      <w:r>
        <w:rPr>
          <w:i w:val="false"/>
          <w:iCs w:val="false"/>
        </w:rPr>
        <w:t xml:space="preserve"> </w:t>
      </w:r>
      <w:r>
        <w:rPr>
          <w:rStyle w:val="Nfase"/>
          <w:i w:val="false"/>
          <w:iCs w:val="false"/>
        </w:rPr>
        <w:t>This War of Mine</w:t>
      </w:r>
      <w:r>
        <w:rPr/>
        <w:t xml:space="preserve"> será utilizado como objeto estratégico de análise, na medida em que representa, em chave gamificada, a experiência da guerra urbana e da sobrevivência civil em um cenário de cerco e colapso. A proposta é examinar como a obra reconfigura, em linguagem videolúdica, o terror cotidiano e a precariedade da vida sob violência extrema.</w:t>
      </w:r>
    </w:p>
    <w:p>
      <w:pPr>
        <w:pStyle w:val="Corpodotexto"/>
        <w:rPr/>
      </w:pPr>
      <w:r>
        <w:rPr/>
      </w:r>
    </w:p>
    <w:p>
      <w:pPr>
        <w:pStyle w:val="Corpodotexto"/>
        <w:ind w:hanging="0"/>
        <w:rPr>
          <w:b/>
          <w:bCs/>
        </w:rPr>
      </w:pPr>
      <w:r>
        <w:rPr>
          <w:b/>
          <w:bCs/>
        </w:rPr>
        <w:t>O PAPEL DE THIS WAR OF MINE</w:t>
      </w:r>
    </w:p>
    <w:p>
      <w:pPr>
        <w:pStyle w:val="Corpodotexto"/>
        <w:rPr/>
      </w:pPr>
      <w:r>
        <w:rPr/>
        <w:t>O jogo eletrônico This War of Mine, lançado em 2014 pela 11 bit studios, tem função de suma importância nesta pesquisa, pois ele traz elementos centrais em sua gameplay, de forma que o torna não apenas um simples jogo de point-and-click, mas uma representação das consequências da guerra sobre populações civis, incluindo impactos psicológicos, a luta diária pela obtenção e gestão de recursos limitados, a diversidade interna dos sujeitos e os conflitos entre eles (Sterczewski, 2016).</w:t>
      </w:r>
    </w:p>
    <w:p>
      <w:pPr>
        <w:pStyle w:val="Corpodotexto"/>
        <w:rPr/>
      </w:pPr>
      <w:r>
        <w:rPr/>
        <w:t>O jogo tem como base testemunhos de cercos como Sarajevo, Leningrado e Monróvia, bem como da Revolta de Varsóvia (Kowalczyk, 2015). Isso se manifesta em suas mecânicas centrais, que segundo Gieba(2019, p.23), articulam a sobrevivência em ciclos diurnos e noturnos: durante o dia, os personagens melhoram o abrigo para garantir a sobrevivência do grupo, enquanto à noite se arriscam em áreas devastadas em busca de recursos essenciais. O jogador administra um grupo de civis inicialmente desconhecidos entre si, mas forçados a compartilhar um mesmo espaço de sobrevivência, onde a manutenção da vida depende de decisões coletivas sob escassez extrema (Gieba, 2019, p. 23).</w:t>
      </w:r>
    </w:p>
    <w:p>
      <w:pPr>
        <w:pStyle w:val="Corpodotexto"/>
        <w:rPr/>
      </w:pPr>
      <w:r>
        <w:rPr/>
        <w:t>A finalidade do jogo, nesse sentido, é a constituição de uma comunidade forçada à sobrevivência em condições de cerco, na qual a cooperação se torna condição fundamental para a permanência do grupo (Duda, 2012, p. 53).</w:t>
      </w:r>
    </w:p>
    <w:p>
      <w:pPr>
        <w:pStyle w:val="Corpodotexto"/>
        <w:rPr/>
      </w:pPr>
      <w:r>
        <w:rPr/>
        <w:t>Contudo, ao longo da gameplay, o jogador é confrontado com múltiplos desafios relacionados à sobrevivência em um contexto de conflito, o que exige a construção de uma comunidade baseada no trabalho coletivo, capaz de equilibrar especialização e distribuição de necessidades, funcionando como mecanismo de mitigação de conflitos internos (Bomba, 2015, p. 92).</w:t>
      </w:r>
    </w:p>
    <w:p>
      <w:pPr>
        <w:pStyle w:val="Corpodotexto"/>
        <w:rPr/>
      </w:pPr>
      <w:r>
        <w:rPr/>
        <w:t>Segundo Gieba:</w:t>
      </w:r>
    </w:p>
    <w:p>
      <w:pPr>
        <w:pStyle w:val="Corpodotexto"/>
        <w:widowControl/>
        <w:suppressAutoHyphens w:val="true"/>
        <w:bidi w:val="0"/>
        <w:spacing w:lineRule="auto" w:line="240" w:before="0" w:after="140"/>
        <w:ind w:left="2268" w:right="0" w:hanging="0"/>
        <w:jc w:val="both"/>
        <w:rPr>
          <w:sz w:val="20"/>
          <w:szCs w:val="20"/>
        </w:rPr>
      </w:pPr>
      <w:r>
        <w:rPr>
          <w:sz w:val="20"/>
          <w:szCs w:val="20"/>
        </w:rPr>
        <w:t>“</w:t>
      </w:r>
      <w:r>
        <w:rPr>
          <w:sz w:val="20"/>
          <w:szCs w:val="20"/>
        </w:rPr>
        <w:t>Esses pequenos conflitos são discussões dentro do grupo, que podem levar, por exemplo, à incompatibilidade de personalidades, mas também à frustração causada pela fome, privação de sono e depressão. No entanto, qualquer conflito desse tipo leva a consequências negativas. A cooperação é a única chance de sobrevivência.”(GIEBA, 2019, p.23)</w:t>
      </w:r>
    </w:p>
    <w:p>
      <w:pPr>
        <w:pStyle w:val="Corpodotexto"/>
        <w:rPr/>
      </w:pPr>
      <w:r>
        <w:rPr/>
        <w:t>Nesse sentido, o jogador é inserido em um ecossistema instável, no qual precisa gerenciar simultaneamente as singularidades de cada personagem, a escassez progressiva de recursos e o surgimento contínuo de tensões internas. À medida que o tempo avança, a deterioração das condições materiais intensifica problemas como doenças, exaustão e conflitos, tornando a sobrevivência um processo permanentemente frágil.</w:t>
      </w:r>
    </w:p>
    <w:p>
      <w:pPr>
        <w:pStyle w:val="Corpodotexto"/>
        <w:rPr/>
      </w:pPr>
      <w:r>
        <w:rPr/>
        <w:t>Essa dinâmica evidencia aquilo que Piotrowiak (2017, p. 57) identifica como a distância entre a racionalidade da guerra e o caos da vida civil em cidades sitiadas, nas quais a aleatoriedade do destino humano, as oscilações emocionais e os comportamentos descontrolados produzem uma realidade marcada pela imprevisibilidade e pela fratura das narrativas tradicionais de conflito.</w:t>
      </w:r>
    </w:p>
    <w:p>
      <w:pPr>
        <w:pStyle w:val="Corpodotexto"/>
        <w:rPr/>
      </w:pPr>
      <w:r>
        <w:rPr/>
        <w:t>Em outro nível analítico, essa tensão também se aproxima da formulação de Clausewitz (2003), especialmente no que se refere à “névoa da guerra” e à fricção entre o planejamento estratégico e a realidade concreta dos conflitos, destacando a política como elemento estruturante da guerra. Nesse contexto,</w:t>
      </w:r>
      <w:r>
        <w:rPr>
          <w:i w:val="false"/>
          <w:iCs w:val="false"/>
        </w:rPr>
        <w:t xml:space="preserve"> </w:t>
      </w:r>
      <w:r>
        <w:rPr>
          <w:rStyle w:val="Nfase"/>
          <w:i w:val="false"/>
          <w:iCs w:val="false"/>
        </w:rPr>
        <w:t>This War of Mine</w:t>
      </w:r>
      <w:r>
        <w:rPr/>
        <w:t xml:space="preserve"> mobiliza essas dimensões teóricas ao deslocar o foco da guerra convencional para a experiência civil, inspirando-se em testemunhos de cercos reais e colocando o jogador diante da gestão da sobrevivência em um ambiente marcado pela instabilidade e pela precariedade extrema.</w:t>
      </w:r>
    </w:p>
    <w:p>
      <w:pPr>
        <w:pStyle w:val="Corpodotexto"/>
        <w:rPr/>
      </w:pPr>
      <w:r>
        <w:rPr/>
        <w:t>Embora o jogo mobilize relatos provenientes de diferentes conflitos armados do século XX e XXI, sua inspiração central está vinculada à Guerra da Bósnia, especialmente ao Cerco de Sarajevo, como reconhecem os próprios desenvolvedores (Gieba, 2019, p. 24). Essa relação não se limita a uma referência temática geral, mas se articula também em materiais complementares de divulgação, como o trailer The Survivor, no qual o testemunho de Emir Cerimovic, sobrevivente do cerco, é entrelaçado com cenas do próprio This War of Mine(Gieba, 2019, p. 24). Essa justaposição entre narrativa testemunhal e representação videolúdica evidencia a tentativa de inscrever a obra em um horizonte de memória histórica da violência urbana contemporânea.</w:t>
      </w:r>
    </w:p>
    <w:p>
      <w:pPr>
        <w:pStyle w:val="Corpodotexto"/>
        <w:rPr/>
      </w:pPr>
      <w:r>
        <w:rPr/>
        <w:t xml:space="preserve">O impacto de This War of Mine ultrapassou o campo estritamente videolúdico, alcançando reconhecimento institucional e educacional em nível estatal. Na Polônia, o jogo foi incluído na lista oficial de leituras escolares pelo Ministério da Educação, em caráter opcional, tornando-se o primeiro caso de um videogame incorporado formalmente ao sistema educacional nacional(Tilles, 2020). </w:t>
      </w:r>
    </w:p>
    <w:p>
      <w:pPr>
        <w:pStyle w:val="Corpodotexto"/>
        <w:rPr/>
      </w:pPr>
      <w:r>
        <w:rPr/>
        <w:t>Segundo o primeiro-ministro Mateusz Morawiecki, a proposta dessa inclusão está relacionada à capacidade dos jogos de mobilizar formas de imaginação e reflexão sobre situações extremas, comparáveis àquelas ativadas pela leitura de obras literárias, especialmente no que se refere à experiência civil da guerra e à tomada de decisões sob condições de sobrevivência(Handrahan, 2020; Tilles, 2020).</w:t>
      </w:r>
    </w:p>
    <w:p>
      <w:pPr>
        <w:pStyle w:val="Corpodotexto"/>
        <w:rPr/>
      </w:pPr>
      <w:r>
        <w:rPr/>
        <w:t xml:space="preserve">Dessa forma, mais do que representar a guerra, </w:t>
      </w:r>
      <w:r>
        <w:rPr>
          <w:rStyle w:val="Nfase"/>
          <w:i w:val="false"/>
          <w:iCs w:val="false"/>
        </w:rPr>
        <w:t>This War of Mine</w:t>
      </w:r>
      <w:r>
        <w:rPr/>
        <w:t xml:space="preserve"> a reinscreve a partir de uma perspectiva deslocada, na qual a sobrevivência cotidiana, as relações interpessoais e os dilemas morais assumem centralidade analítica, operando como um dispositivo que tensiona narrativas tradicionais do conflito e evidencia, de maneira sensível e interativa, a complexidade da experiência civil em contextos de violência extrema. </w:t>
      </w:r>
    </w:p>
    <w:p>
      <w:pPr>
        <w:pStyle w:val="Normal"/>
        <w:rPr/>
      </w:pPr>
      <w:r>
        <w:rPr/>
      </w:r>
    </w:p>
    <w:p>
      <w:pPr>
        <w:pStyle w:val="Ttulo1"/>
        <w:ind w:left="0" w:hanging="0"/>
        <w:rPr/>
      </w:pPr>
      <w:r>
        <w:rPr/>
        <w:t>CONCLUSÃO</w:t>
      </w:r>
    </w:p>
    <w:p>
      <w:pPr>
        <w:pStyle w:val="Normal"/>
        <w:rPr/>
      </w:pPr>
      <w:r>
        <w:rPr/>
        <w:t>Ao longo desta pesquisa, a dimensão de sua complexidade se mostrou partindo de um evento maior que é a Dissolução da Iugoslávia, que resultou em uma profunda guerra civil dividida nos seguintes conflitos: Guerra da Independência da Eslovênia, Guerra de Independência da Croácia, Guerra da Bósnia, Insurgência no Kosovo, Guerra do Kosovo, Insurgência no Vale do Preševo e a Insurgência na Macedônia. Trata-se de um processo histórico que não pode ser compreendido como um evento isolado, mas como uma reorganização violenta de estruturas políticas, identitárias e territoriais no espaço pós-socialista dos Bálcãs.</w:t>
      </w:r>
    </w:p>
    <w:p>
      <w:pPr>
        <w:pStyle w:val="Normal"/>
        <w:rPr/>
      </w:pPr>
      <w:r>
        <w:rPr/>
        <w:t xml:space="preserve">Dentre eles, o conflito em questão analisado foi na Bósnia, mas não ele como um todo, mas um recorte de um evento: o Cerco de Sarajevo. Somente aqui já se evidencia a complexidade do conflito, uma vez que o cerco não se limita à dimensão militar convencional, mas envolve uma multiplicidade de atores, interesses e escalas de intervenção. </w:t>
      </w:r>
    </w:p>
    <w:p>
      <w:pPr>
        <w:pStyle w:val="Normal"/>
        <w:rPr/>
      </w:pPr>
      <w:r>
        <w:rPr/>
        <w:t>Quando se aprofunda a análise deste evento específico, torna-se evidente a presença simultânea de diferentes forças beligerantes e institucionais: a recém-independente República da Bósnia e Herzegovina, a República Srpska com apoio financeiro e bélico da República Federal da Iugoslávia, então composta por Sérvia e Montenegro, além da atuação de organismos internacionais como a Organização das Nações Unidas e, posteriormente, a intervenção militar da Organização do Tratado do Atlântico Norte.</w:t>
      </w:r>
    </w:p>
    <w:p>
      <w:pPr>
        <w:pStyle w:val="Normal"/>
        <w:rPr/>
      </w:pPr>
      <w:r>
        <w:rPr/>
        <w:t>Além das nações beligerantes, há um fator central que intensifica esta análise: os civis. Estes sujeitos não ocupam apenas a posição de vítimas diretas do conflito, mas também se tornam pontos de convergência das relações de poder que atravessam a guerra. A partir de referenciais como Foucault e Mbembe, é possível compreender como a violência institucional não se manifesta apenas no ato bélico em si, mas na própria administração da vida sob condições de exceção, onde a sobrevivência passa a ser mediada por estruturas de controle, escassez e insegurança. Nesse sentido, a guerra não se restringe à oposição entre invasor e defensor, mas se desdobra também em práticas internas que podem atingir a própria população civil da nação em conflito, revelando uma lógica em que o poder político e militar incide diretamente sobre corpos vulneráveis.</w:t>
      </w:r>
    </w:p>
    <w:p>
      <w:pPr>
        <w:pStyle w:val="Normal"/>
        <w:rPr/>
      </w:pPr>
      <w:r>
        <w:rPr/>
        <w:t>Essa condição se agrava quando se observa o papel limitado, e muitas vezes insuficiente, das instituições humanitárias, que atuam em um cenário no qual a própria dinâmica do cerco restringe o acesso, a proteção e a garantia mínima de estabilidade para populações civis. O resultado é a produção de um espaço de incerteza prolongada, no qual o cotidiano é atravessado por decisões extremas e pela precarização contínua da vida.</w:t>
      </w:r>
    </w:p>
    <w:p>
      <w:pPr>
        <w:pStyle w:val="Normal"/>
        <w:rPr/>
      </w:pPr>
      <w:r>
        <w:rPr/>
        <w:t>A partir disso, This War of Mine surge como uma obra que, quando utilizada como lente interpretativa deste conflito, desloca o eixo tradicional de análise da guerra para o nível mais elementar de sua experiência: o cotidiano civil. Diferentemente de jogos que operam com a lógica do combate direto, da estratégia militar ou da administração estatal, aqui o jogador não assume o papel de soldado, comandante ou líder político, mas sim o de civis inseridos em um cenário de cerco prolongado.</w:t>
      </w:r>
    </w:p>
    <w:p>
      <w:pPr>
        <w:pStyle w:val="Normal"/>
        <w:rPr/>
      </w:pPr>
      <w:r>
        <w:rPr/>
        <w:t>Em This War of Mine, a experiência de jogo é estruturada a partir da sobrevivência em condições de extrema escassez, em que necessidades básicas como fome, frio e segurança se tornam elementos centrais da dinâmica. Além disso, o jogo incorpora dimensões psicológicas e morais que refletem os efeitos prolongados do conflito sobre indivíduos não combatentes, evidenciando como a guerra ultrapassa o campo físico e se inscreve também na subjetividade dos sujeitos.</w:t>
      </w:r>
    </w:p>
    <w:p>
      <w:pPr>
        <w:pStyle w:val="Normal"/>
        <w:rPr/>
      </w:pPr>
      <w:r>
        <w:rPr/>
        <w:t>Dessa forma, o jogo não apenas representa a guerra sob uma perspectiva alternativa, mas também reorganiza a forma como o jogador percebe a relação entre poder, violência e vida cotidiana. Ao inverter a lógica tradicional dos jogos de guerra, ele coloca no centro da experiência justamente aqueles que, na maior parte das narrativas bélicas, permanecem marginalizados: os civis.</w:t>
      </w:r>
    </w:p>
    <w:p>
      <w:pPr>
        <w:pStyle w:val="Normal"/>
        <w:rPr/>
      </w:pPr>
      <w:r>
        <w:rPr/>
        <w:t>Nesse sentido, a obra permite compreender a guerra não apenas como um embate entre forças militares, mas como um sistema de produção de vulnerabilidade, no qual a violência institucional se manifesta de maneira contínua e difusa sobre populações desprovidas de meios de defesa estruturados.</w:t>
      </w:r>
    </w:p>
    <w:p>
      <w:pPr>
        <w:pStyle w:val="Normal"/>
        <w:rPr/>
      </w:pPr>
      <w:r>
        <w:rPr/>
      </w:r>
    </w:p>
    <w:p>
      <w:pPr>
        <w:pStyle w:val="Ttulo1"/>
        <w:ind w:left="0" w:hanging="0"/>
        <w:jc w:val="left"/>
        <w:rPr/>
      </w:pPr>
      <w:r>
        <w:rPr/>
        <w:t>REFERÊNCIAS</w:t>
      </w:r>
    </w:p>
    <w:p>
      <w:pPr>
        <w:pStyle w:val="Bibliografia1"/>
        <w:rPr/>
      </w:pPr>
      <w:r>
        <w:rPr>
          <w:rFonts w:eastAsia="Times New Roman" w:cs="Times New Roman"/>
          <w:b w:val="false"/>
          <w:bCs w:val="false"/>
          <w:i w:val="false"/>
          <w:iCs w:val="false"/>
          <w:color w:val="000000" w:themeColor="dark1"/>
          <w:sz w:val="24"/>
          <w:szCs w:val="24"/>
        </w:rPr>
        <w:t xml:space="preserve">ALVES, M. Sobre a necropolítica em Achille Mbembe: da colônia à pandemia. </w:t>
      </w:r>
      <w:r>
        <w:rPr>
          <w:rFonts w:eastAsia="Times New Roman" w:cs="Times New Roman"/>
          <w:b/>
          <w:bCs/>
          <w:i w:val="false"/>
          <w:iCs w:val="false"/>
          <w:color w:val="000000" w:themeColor="dark1"/>
          <w:sz w:val="24"/>
          <w:szCs w:val="24"/>
        </w:rPr>
        <w:t>Revista TRIEB</w:t>
      </w:r>
      <w:r>
        <w:rPr>
          <w:rFonts w:eastAsia="Times New Roman" w:cs="Times New Roman"/>
          <w:b w:val="false"/>
          <w:bCs w:val="false"/>
          <w:i w:val="false"/>
          <w:iCs w:val="false"/>
          <w:color w:val="000000" w:themeColor="dark1"/>
          <w:sz w:val="24"/>
          <w:szCs w:val="24"/>
        </w:rPr>
        <w:t>, v. 20, n. 1, 2021.</w:t>
      </w:r>
    </w:p>
    <w:p>
      <w:pPr>
        <w:pStyle w:val="Bibliografia1"/>
        <w:rPr>
          <w:rFonts w:eastAsia="Times New Roman" w:cs="Times New Roman"/>
          <w:b w:val="false"/>
          <w:bCs w:val="false"/>
          <w:i w:val="false"/>
          <w:i w:val="false"/>
          <w:iCs w:val="false"/>
          <w:color w:val="000000" w:themeColor="dark1"/>
          <w:sz w:val="24"/>
          <w:szCs w:val="24"/>
        </w:rPr>
      </w:pPr>
      <w:r>
        <w:rPr>
          <w:rFonts w:eastAsia="Times New Roman" w:cs="Times New Roman"/>
          <w:b w:val="false"/>
          <w:bCs w:val="false"/>
          <w:i w:val="false"/>
          <w:iCs w:val="false"/>
          <w:color w:val="000000" w:themeColor="dark1"/>
          <w:sz w:val="24"/>
          <w:szCs w:val="24"/>
        </w:rPr>
        <w:t xml:space="preserve">ARMATTA, Judith. </w:t>
      </w:r>
      <w:r>
        <w:rPr>
          <w:rFonts w:eastAsia="Times New Roman" w:cs="Times New Roman"/>
          <w:b/>
          <w:bCs/>
          <w:i w:val="false"/>
          <w:iCs w:val="false"/>
          <w:color w:val="000000" w:themeColor="dark1"/>
          <w:sz w:val="24"/>
          <w:szCs w:val="24"/>
        </w:rPr>
        <w:t>Crepúsculo da Impunidade: O Julgamento de Slobodan Milosević por Crimes de Guerra.</w:t>
      </w:r>
      <w:r>
        <w:rPr>
          <w:rFonts w:eastAsia="Times New Roman" w:cs="Times New Roman"/>
          <w:b w:val="false"/>
          <w:bCs w:val="false"/>
          <w:i w:val="false"/>
          <w:iCs w:val="false"/>
          <w:color w:val="000000" w:themeColor="dark1"/>
          <w:sz w:val="24"/>
          <w:szCs w:val="24"/>
        </w:rPr>
        <w:t xml:space="preserve"> Duke University Press. 2010.</w:t>
      </w:r>
    </w:p>
    <w:p>
      <w:pPr>
        <w:pStyle w:val="Bibliografia1"/>
        <w:rPr/>
      </w:pPr>
      <w:r>
        <w:rPr>
          <w:rFonts w:eastAsia="Times New Roman" w:cs="Times New Roman"/>
          <w:b w:val="false"/>
          <w:bCs w:val="false"/>
          <w:i w:val="false"/>
          <w:iCs w:val="false"/>
          <w:color w:val="000000" w:themeColor="dark1"/>
          <w:sz w:val="24"/>
          <w:szCs w:val="24"/>
        </w:rPr>
        <w:t xml:space="preserve">BASSIOUNI, Cherif. </w:t>
      </w:r>
      <w:r>
        <w:rPr>
          <w:rFonts w:eastAsia="Times New Roman" w:cs="Times New Roman"/>
          <w:b/>
          <w:bCs/>
          <w:i w:val="false"/>
          <w:iCs w:val="false"/>
          <w:color w:val="000000" w:themeColor="dark1"/>
          <w:sz w:val="24"/>
          <w:szCs w:val="24"/>
        </w:rPr>
        <w:t>“Relatório final da Comissão de Peritos das Nações Unidas estabelecida de acordo com a resolução 780 (1992) do conselho de segurança – Anexo VI – parte 1 – Estudo da batalha e cerco de Sarajevo”</w:t>
      </w:r>
      <w:r>
        <w:rPr>
          <w:rFonts w:eastAsia="Times New Roman" w:cs="Times New Roman"/>
          <w:b w:val="false"/>
          <w:bCs w:val="false"/>
          <w:i w:val="false"/>
          <w:iCs w:val="false"/>
          <w:color w:val="000000" w:themeColor="dark1"/>
          <w:sz w:val="24"/>
          <w:szCs w:val="24"/>
        </w:rPr>
        <w:t>. Nações Unidas. 1994</w:t>
      </w:r>
    </w:p>
    <w:p>
      <w:pPr>
        <w:pStyle w:val="Bibliografia1"/>
        <w:rPr/>
      </w:pPr>
      <w:r>
        <w:rPr>
          <w:rFonts w:eastAsia="Times New Roman" w:cs="Times New Roman"/>
          <w:b w:val="false"/>
          <w:bCs w:val="false"/>
          <w:i w:val="false"/>
          <w:iCs w:val="false"/>
          <w:color w:val="000000" w:themeColor="dark1"/>
          <w:sz w:val="24"/>
          <w:szCs w:val="24"/>
        </w:rPr>
        <w:t xml:space="preserve">BECKER, Gary S. </w:t>
      </w:r>
      <w:r>
        <w:rPr>
          <w:rFonts w:eastAsia="Times New Roman" w:cs="Times New Roman"/>
          <w:b/>
          <w:bCs/>
          <w:i w:val="false"/>
          <w:iCs w:val="false"/>
          <w:color w:val="000000" w:themeColor="dark1"/>
          <w:sz w:val="24"/>
          <w:szCs w:val="24"/>
        </w:rPr>
        <w:t>The economic way of looking at life.</w:t>
      </w:r>
      <w:r>
        <w:rPr>
          <w:rFonts w:eastAsia="Times New Roman" w:cs="Times New Roman"/>
          <w:b w:val="false"/>
          <w:bCs w:val="false"/>
          <w:i w:val="false"/>
          <w:iCs w:val="false"/>
          <w:color w:val="000000" w:themeColor="dark1"/>
          <w:sz w:val="24"/>
          <w:szCs w:val="24"/>
        </w:rPr>
        <w:t xml:space="preserve"> Chicago: Coase-Sandor Institute for Law &amp; Economics, University of Chicago Law School, 1993.</w:t>
      </w:r>
    </w:p>
    <w:p>
      <w:pPr>
        <w:pStyle w:val="Bibliografia1"/>
        <w:rPr/>
      </w:pPr>
      <w:r>
        <w:rPr>
          <w:rFonts w:eastAsia="Times New Roman" w:cs="Times New Roman"/>
          <w:b w:val="false"/>
          <w:bCs w:val="false"/>
          <w:i w:val="false"/>
          <w:iCs w:val="false"/>
          <w:color w:val="000000" w:themeColor="dark1"/>
          <w:sz w:val="24"/>
          <w:szCs w:val="24"/>
        </w:rPr>
        <w:t xml:space="preserve">BETHLEHEM, Daniel L.; WELLER, Marc. </w:t>
      </w:r>
      <w:r>
        <w:rPr>
          <w:rFonts w:eastAsia="Times New Roman" w:cs="Times New Roman"/>
          <w:b/>
          <w:bCs/>
          <w:i w:val="false"/>
          <w:iCs w:val="false"/>
          <w:color w:val="000000" w:themeColor="dark1"/>
          <w:sz w:val="24"/>
          <w:szCs w:val="24"/>
        </w:rPr>
        <w:t>The 'Yugoslav' crisis in international law.</w:t>
      </w:r>
      <w:r>
        <w:rPr>
          <w:rFonts w:eastAsia="Times New Roman" w:cs="Times New Roman"/>
          <w:b w:val="false"/>
          <w:bCs w:val="false"/>
          <w:i w:val="false"/>
          <w:iCs w:val="false"/>
          <w:color w:val="000000" w:themeColor="dark1"/>
          <w:sz w:val="24"/>
          <w:szCs w:val="24"/>
        </w:rPr>
        <w:t xml:space="preserve"> Cambridge: Cambridge University Press, 1997.</w:t>
      </w:r>
    </w:p>
    <w:p>
      <w:pPr>
        <w:pStyle w:val="Bibliografia1"/>
        <w:rPr/>
      </w:pPr>
      <w:r>
        <w:rPr>
          <w:rFonts w:eastAsia="Times New Roman" w:cs="Times New Roman"/>
          <w:b w:val="false"/>
          <w:bCs w:val="false"/>
          <w:i w:val="false"/>
          <w:iCs w:val="false"/>
          <w:color w:val="000000" w:themeColor="dark1"/>
          <w:sz w:val="24"/>
          <w:szCs w:val="24"/>
        </w:rPr>
        <w:t>BOMBA</w:t>
      </w:r>
      <w:r>
        <w:rPr>
          <w:rFonts w:eastAsia="Times New Roman" w:cs="Times New Roman"/>
          <w:b w:val="false"/>
          <w:bCs w:val="false"/>
          <w:i w:val="false"/>
          <w:iCs w:val="false"/>
          <w:color w:val="000000" w:themeColor="dark1"/>
          <w:sz w:val="24"/>
          <w:szCs w:val="24"/>
        </w:rPr>
        <w:t xml:space="preserve">, Radosław. Simowie na wspak. Gra “This War of Mine” w perspektywie retoryki proceduralnej. </w:t>
      </w:r>
      <w:r>
        <w:rPr>
          <w:rFonts w:eastAsia="Times New Roman" w:cs="Times New Roman"/>
          <w:b/>
          <w:bCs/>
          <w:i w:val="false"/>
          <w:iCs w:val="false"/>
          <w:color w:val="000000" w:themeColor="dark1"/>
          <w:sz w:val="24"/>
          <w:szCs w:val="24"/>
        </w:rPr>
        <w:t>Wielogłos</w:t>
      </w:r>
      <w:r>
        <w:rPr>
          <w:rFonts w:eastAsia="Times New Roman" w:cs="Times New Roman"/>
          <w:b w:val="false"/>
          <w:bCs w:val="false"/>
          <w:i w:val="false"/>
          <w:iCs w:val="false"/>
          <w:color w:val="000000" w:themeColor="dark1"/>
          <w:sz w:val="24"/>
          <w:szCs w:val="24"/>
        </w:rPr>
        <w:t>, n. 3, 2015.</w:t>
      </w:r>
    </w:p>
    <w:p>
      <w:pPr>
        <w:pStyle w:val="Bibliografia1"/>
        <w:rPr/>
      </w:pPr>
      <w:r>
        <w:rPr>
          <w:rFonts w:eastAsia="Times New Roman" w:cs="Times New Roman"/>
          <w:b w:val="false"/>
          <w:bCs w:val="false"/>
          <w:i w:val="false"/>
          <w:iCs w:val="false"/>
          <w:color w:val="000000" w:themeColor="dark1"/>
          <w:sz w:val="24"/>
          <w:szCs w:val="24"/>
        </w:rPr>
        <w:t xml:space="preserve">BROWN, Wendy. </w:t>
      </w:r>
      <w:r>
        <w:rPr>
          <w:rFonts w:eastAsia="Times New Roman" w:cs="Times New Roman"/>
          <w:b/>
          <w:bCs/>
          <w:i w:val="false"/>
          <w:iCs w:val="false"/>
          <w:color w:val="000000" w:themeColor="dark1"/>
          <w:sz w:val="24"/>
          <w:szCs w:val="24"/>
        </w:rPr>
        <w:t>Undoing the demos: Neoliberalism's stealth revolution</w:t>
      </w:r>
      <w:r>
        <w:rPr>
          <w:rFonts w:eastAsia="Times New Roman" w:cs="Times New Roman"/>
          <w:b w:val="false"/>
          <w:bCs w:val="false"/>
          <w:i w:val="false"/>
          <w:iCs w:val="false"/>
          <w:color w:val="000000" w:themeColor="dark1"/>
          <w:sz w:val="24"/>
          <w:szCs w:val="24"/>
        </w:rPr>
        <w:t>. Princeton University Press. 2015.</w:t>
      </w:r>
    </w:p>
    <w:p>
      <w:pPr>
        <w:pStyle w:val="Bibliografia1"/>
        <w:rPr/>
      </w:pPr>
      <w:r>
        <w:rPr>
          <w:rFonts w:eastAsia="Times New Roman" w:cs="Times New Roman"/>
          <w:b w:val="false"/>
          <w:bCs w:val="false"/>
          <w:i w:val="false"/>
          <w:iCs w:val="false"/>
          <w:color w:val="000000" w:themeColor="dark1"/>
          <w:sz w:val="24"/>
          <w:szCs w:val="24"/>
        </w:rPr>
        <w:t xml:space="preserve">BURG. Steven L.; SHOUP, Paul S. </w:t>
      </w:r>
      <w:r>
        <w:rPr>
          <w:rFonts w:eastAsia="Times New Roman" w:cs="Times New Roman"/>
          <w:b/>
          <w:bCs/>
          <w:i w:val="false"/>
          <w:iCs w:val="false"/>
          <w:color w:val="000000" w:themeColor="dark1"/>
          <w:sz w:val="24"/>
          <w:szCs w:val="24"/>
        </w:rPr>
        <w:t xml:space="preserve">The War in Bosnia-Herzegovina: Ethnic Conflict and International Intervention. </w:t>
      </w:r>
      <w:r>
        <w:rPr>
          <w:rFonts w:eastAsia="Times New Roman" w:cs="Times New Roman"/>
          <w:b w:val="false"/>
          <w:bCs w:val="false"/>
          <w:i w:val="false"/>
          <w:iCs w:val="false"/>
          <w:color w:val="000000" w:themeColor="dark1"/>
          <w:sz w:val="24"/>
          <w:szCs w:val="24"/>
        </w:rPr>
        <w:t>Cambridge University Press. 2000.</w:t>
      </w:r>
    </w:p>
    <w:p>
      <w:pPr>
        <w:pStyle w:val="Bibliografia1"/>
        <w:rPr/>
      </w:pPr>
      <w:r>
        <w:rPr>
          <w:rFonts w:eastAsia="Times New Roman" w:cs="Times New Roman"/>
          <w:b w:val="false"/>
          <w:bCs w:val="false"/>
          <w:i w:val="false"/>
          <w:iCs w:val="false"/>
          <w:color w:val="000000" w:themeColor="dark1"/>
          <w:sz w:val="24"/>
          <w:szCs w:val="24"/>
        </w:rPr>
        <w:t>BURNS, John F.</w:t>
      </w:r>
      <w:r>
        <w:rPr>
          <w:rFonts w:eastAsia="Times New Roman" w:cs="Times New Roman"/>
          <w:b/>
          <w:bCs/>
          <w:i w:val="false"/>
          <w:iCs w:val="false"/>
          <w:color w:val="000000" w:themeColor="dark1"/>
          <w:sz w:val="24"/>
          <w:szCs w:val="24"/>
        </w:rPr>
        <w:t xml:space="preserve"> Sarajevo's center erupts in war, weakening Yugoslav truce effort.</w:t>
      </w:r>
      <w:r>
        <w:rPr>
          <w:rFonts w:eastAsia="Times New Roman" w:cs="Times New Roman"/>
          <w:b w:val="false"/>
          <w:bCs w:val="false"/>
          <w:i w:val="false"/>
          <w:iCs w:val="false"/>
          <w:color w:val="000000" w:themeColor="dark1"/>
          <w:sz w:val="24"/>
          <w:szCs w:val="24"/>
        </w:rPr>
        <w:t xml:space="preserve"> The New York Times, 3 maio 1992. Disponível em: </w:t>
      </w:r>
      <w:hyperlink r:id="rId3">
        <w:r>
          <w:rPr>
            <w:rStyle w:val="LinkdaInternet"/>
            <w:rFonts w:eastAsia="Times New Roman" w:cs="Times New Roman"/>
            <w:b w:val="false"/>
            <w:bCs w:val="false"/>
            <w:i w:val="false"/>
            <w:iCs w:val="false"/>
            <w:color w:val="000000" w:themeColor="dark1"/>
            <w:sz w:val="24"/>
            <w:szCs w:val="24"/>
          </w:rPr>
          <w:t>https://www.nytimes.com/1992/05/03/world/sarajevo-s-center-erupts-in-war-weakening-yugoslav-truce-effort.html</w:t>
        </w:r>
      </w:hyperlink>
      <w:r>
        <w:rPr>
          <w:rFonts w:eastAsia="Times New Roman" w:cs="Times New Roman"/>
          <w:b w:val="false"/>
          <w:bCs w:val="false"/>
          <w:i w:val="false"/>
          <w:iCs w:val="false"/>
          <w:color w:val="000000" w:themeColor="dark1"/>
          <w:sz w:val="24"/>
          <w:szCs w:val="24"/>
        </w:rPr>
        <w:t xml:space="preserve"> Acesso em: 3 de Abril de 2026</w:t>
      </w:r>
    </w:p>
    <w:p>
      <w:pPr>
        <w:pStyle w:val="Bibliografia1"/>
        <w:rPr/>
      </w:pPr>
      <w:r>
        <w:rPr>
          <w:rFonts w:eastAsia="Times New Roman" w:cs="Times New Roman"/>
          <w:b w:val="false"/>
          <w:bCs w:val="false"/>
          <w:i w:val="false"/>
          <w:iCs w:val="false"/>
          <w:color w:val="000000" w:themeColor="dark1"/>
          <w:sz w:val="24"/>
          <w:szCs w:val="24"/>
        </w:rPr>
        <w:t xml:space="preserve">B92. </w:t>
      </w:r>
      <w:r>
        <w:rPr>
          <w:rFonts w:eastAsia="Times New Roman" w:cs="Times New Roman"/>
          <w:b/>
          <w:bCs/>
          <w:i w:val="false"/>
          <w:iCs w:val="false"/>
          <w:color w:val="000000" w:themeColor="dark1"/>
          <w:sz w:val="24"/>
          <w:szCs w:val="24"/>
        </w:rPr>
        <w:t>Sarajevo ogorčeno zbog Divjaka.</w:t>
      </w:r>
      <w:r>
        <w:rPr>
          <w:rFonts w:eastAsia="Times New Roman" w:cs="Times New Roman"/>
          <w:b w:val="false"/>
          <w:bCs w:val="false"/>
          <w:i w:val="false"/>
          <w:iCs w:val="false"/>
          <w:color w:val="000000" w:themeColor="dark1"/>
          <w:sz w:val="24"/>
          <w:szCs w:val="24"/>
        </w:rPr>
        <w:t xml:space="preserve"> 2011. Disponível em: </w:t>
      </w:r>
      <w:hyperlink r:id="rId4">
        <w:r>
          <w:rPr>
            <w:rStyle w:val="LinkdaInternet"/>
            <w:rFonts w:eastAsia="Times New Roman" w:cs="Times New Roman"/>
            <w:b w:val="false"/>
            <w:bCs w:val="false"/>
            <w:i w:val="false"/>
            <w:iCs w:val="false"/>
            <w:color w:val="000000" w:themeColor="dark1"/>
            <w:sz w:val="24"/>
            <w:szCs w:val="24"/>
          </w:rPr>
          <w:t>https://www.b92.net/o/info/vesti/index?yyyy=2011&amp;mm=03&amp;dd=05&amp;nav_category=64&amp;nav_id=497006</w:t>
        </w:r>
      </w:hyperlink>
      <w:r>
        <w:rPr>
          <w:rFonts w:eastAsia="Times New Roman" w:cs="Times New Roman"/>
          <w:b w:val="false"/>
          <w:bCs w:val="false"/>
          <w:i w:val="false"/>
          <w:iCs w:val="false"/>
          <w:color w:val="000000" w:themeColor="dark1"/>
          <w:sz w:val="24"/>
          <w:szCs w:val="24"/>
        </w:rPr>
        <w:t xml:space="preserve"> Acesso em: 3 de Abril de 2026.</w:t>
      </w:r>
    </w:p>
    <w:p>
      <w:pPr>
        <w:pStyle w:val="Bibliografia1"/>
        <w:rPr/>
      </w:pPr>
      <w:r>
        <w:rPr>
          <w:rFonts w:eastAsia="Times New Roman" w:cs="Times New Roman"/>
          <w:b w:val="false"/>
          <w:bCs w:val="false"/>
          <w:i w:val="false"/>
          <w:iCs w:val="false"/>
          <w:color w:val="000000" w:themeColor="dark1"/>
          <w:sz w:val="24"/>
          <w:szCs w:val="24"/>
        </w:rPr>
        <w:t xml:space="preserve">CAUTI, Carlo. </w:t>
      </w:r>
      <w:r>
        <w:rPr>
          <w:rFonts w:eastAsia="Times New Roman" w:cs="Times New Roman"/>
          <w:b/>
          <w:bCs/>
          <w:i w:val="false"/>
          <w:iCs w:val="false"/>
          <w:color w:val="000000" w:themeColor="dark1"/>
          <w:sz w:val="24"/>
          <w:szCs w:val="24"/>
        </w:rPr>
        <w:t>Tiros, mortes e incêndios: os 29 anos do início do cerco militar de Sarajevo.</w:t>
      </w:r>
      <w:r>
        <w:rPr>
          <w:rFonts w:eastAsia="Times New Roman" w:cs="Times New Roman"/>
          <w:b w:val="false"/>
          <w:bCs w:val="false"/>
          <w:i w:val="false"/>
          <w:iCs w:val="false"/>
          <w:color w:val="000000" w:themeColor="dark1"/>
          <w:sz w:val="24"/>
          <w:szCs w:val="24"/>
        </w:rPr>
        <w:t xml:space="preserve"> Aventuras na História, 2021. Disponível em: </w:t>
      </w:r>
      <w:hyperlink r:id="rId5">
        <w:r>
          <w:rPr>
            <w:rStyle w:val="LinkdaInternet"/>
            <w:rFonts w:eastAsia="Times New Roman" w:cs="Times New Roman"/>
            <w:b w:val="false"/>
            <w:bCs w:val="false"/>
            <w:i w:val="false"/>
            <w:iCs w:val="false"/>
            <w:color w:val="000000" w:themeColor="dark1"/>
            <w:sz w:val="24"/>
            <w:szCs w:val="24"/>
          </w:rPr>
          <w:t>https://aventurasnahistoria.com.br/noticias/reportagem/os-1425-dias-de-sarajevo.phtml</w:t>
        </w:r>
      </w:hyperlink>
      <w:r>
        <w:rPr>
          <w:rFonts w:eastAsia="Times New Roman" w:cs="Times New Roman"/>
          <w:b w:val="false"/>
          <w:bCs w:val="false"/>
          <w:i w:val="false"/>
          <w:iCs w:val="false"/>
          <w:color w:val="000000" w:themeColor="dark1"/>
          <w:sz w:val="24"/>
          <w:szCs w:val="24"/>
        </w:rPr>
        <w:t xml:space="preserve"> Acesso em: 2 de Abril de 2026.</w:t>
      </w:r>
    </w:p>
    <w:p>
      <w:pPr>
        <w:pStyle w:val="Bibliografia1"/>
        <w:rPr/>
      </w:pPr>
      <w:r>
        <w:rPr>
          <w:rFonts w:eastAsia="Times New Roman" w:cs="Times New Roman"/>
          <w:b w:val="false"/>
          <w:bCs w:val="false"/>
          <w:i w:val="false"/>
          <w:iCs w:val="false"/>
          <w:color w:val="000000" w:themeColor="dark1"/>
          <w:sz w:val="24"/>
          <w:szCs w:val="24"/>
        </w:rPr>
        <w:t xml:space="preserve">CLAPHAM, David. </w:t>
      </w:r>
      <w:r>
        <w:rPr>
          <w:rFonts w:eastAsia="Times New Roman" w:cs="Times New Roman"/>
          <w:b/>
          <w:bCs/>
          <w:i w:val="false"/>
          <w:iCs w:val="false"/>
          <w:color w:val="000000" w:themeColor="dark1"/>
          <w:sz w:val="24"/>
          <w:szCs w:val="24"/>
        </w:rPr>
        <w:t>Housing Privatization in Eastern Europe</w:t>
      </w:r>
      <w:r>
        <w:rPr>
          <w:rFonts w:eastAsia="Times New Roman" w:cs="Times New Roman"/>
          <w:b w:val="false"/>
          <w:bCs w:val="false"/>
          <w:i w:val="false"/>
          <w:iCs w:val="false"/>
          <w:color w:val="000000" w:themeColor="dark1"/>
          <w:sz w:val="24"/>
          <w:szCs w:val="24"/>
        </w:rPr>
        <w:t>. Greenwood Publishing Group. Slovenia, 1996.</w:t>
      </w:r>
    </w:p>
    <w:p>
      <w:pPr>
        <w:pStyle w:val="Bibliografia1"/>
        <w:rPr/>
      </w:pPr>
      <w:r>
        <w:rPr>
          <w:rFonts w:eastAsia="Times New Roman" w:cs="Times New Roman"/>
          <w:b w:val="false"/>
          <w:bCs w:val="false"/>
          <w:i w:val="false"/>
          <w:iCs w:val="false"/>
          <w:color w:val="000000" w:themeColor="dark1"/>
          <w:sz w:val="24"/>
          <w:szCs w:val="24"/>
        </w:rPr>
        <w:t xml:space="preserve">CLAUSEWITZ, Carl. </w:t>
      </w:r>
      <w:r>
        <w:rPr>
          <w:rFonts w:eastAsia="Times New Roman" w:cs="Times New Roman"/>
          <w:b/>
          <w:bCs/>
          <w:i w:val="false"/>
          <w:iCs w:val="false"/>
          <w:color w:val="000000" w:themeColor="dark1"/>
          <w:sz w:val="24"/>
          <w:szCs w:val="24"/>
        </w:rPr>
        <w:t>On war.</w:t>
      </w:r>
      <w:r>
        <w:rPr>
          <w:rFonts w:eastAsia="Times New Roman" w:cs="Times New Roman"/>
          <w:b w:val="false"/>
          <w:bCs w:val="false"/>
          <w:i w:val="false"/>
          <w:iCs w:val="false"/>
          <w:color w:val="000000" w:themeColor="dark1"/>
          <w:sz w:val="24"/>
          <w:szCs w:val="24"/>
        </w:rPr>
        <w:t xml:space="preserve"> Penguin UK, 2003.</w:t>
      </w:r>
    </w:p>
    <w:p>
      <w:pPr>
        <w:pStyle w:val="Bibliografia1"/>
        <w:rPr/>
      </w:pPr>
      <w:r>
        <w:rPr>
          <w:rFonts w:eastAsia="Times New Roman" w:cs="Times New Roman"/>
          <w:b w:val="false"/>
          <w:bCs w:val="false"/>
          <w:i w:val="false"/>
          <w:iCs w:val="false"/>
          <w:color w:val="000000" w:themeColor="dark1"/>
          <w:sz w:val="24"/>
          <w:szCs w:val="24"/>
        </w:rPr>
        <w:t>CRAMPTON, Richard.</w:t>
      </w:r>
      <w:r>
        <w:rPr>
          <w:rFonts w:eastAsia="Times New Roman" w:cs="Times New Roman"/>
          <w:b/>
          <w:bCs/>
          <w:i w:val="false"/>
          <w:iCs w:val="false"/>
          <w:color w:val="000000" w:themeColor="dark1"/>
          <w:sz w:val="24"/>
          <w:szCs w:val="24"/>
        </w:rPr>
        <w:t xml:space="preserve"> Eastern Europe in the Twentieth Century and After.</w:t>
      </w:r>
      <w:r>
        <w:rPr>
          <w:rFonts w:eastAsia="Times New Roman" w:cs="Times New Roman"/>
          <w:b w:val="false"/>
          <w:bCs w:val="false"/>
          <w:i w:val="false"/>
          <w:iCs w:val="false"/>
          <w:color w:val="000000" w:themeColor="dark1"/>
          <w:sz w:val="24"/>
          <w:szCs w:val="24"/>
        </w:rPr>
        <w:t xml:space="preserve"> London: Routledge. 1997</w:t>
      </w:r>
    </w:p>
    <w:p>
      <w:pPr>
        <w:pStyle w:val="Bibliografia1"/>
        <w:rPr/>
      </w:pPr>
      <w:r>
        <w:rPr>
          <w:rFonts w:eastAsia="Times New Roman" w:cs="Times New Roman"/>
          <w:b w:val="false"/>
          <w:bCs w:val="false"/>
          <w:i w:val="false"/>
          <w:iCs w:val="false"/>
          <w:color w:val="000000" w:themeColor="dark1"/>
          <w:sz w:val="24"/>
          <w:szCs w:val="24"/>
        </w:rPr>
        <w:t xml:space="preserve">DEAN, Mitchell M. </w:t>
      </w:r>
      <w:r>
        <w:rPr>
          <w:rFonts w:eastAsia="Times New Roman" w:cs="Times New Roman"/>
          <w:b/>
          <w:bCs/>
          <w:i w:val="false"/>
          <w:iCs w:val="false"/>
          <w:color w:val="000000" w:themeColor="dark1"/>
          <w:sz w:val="24"/>
          <w:szCs w:val="24"/>
        </w:rPr>
        <w:t>Governmentality: Power and rule in modern society</w:t>
      </w:r>
      <w:r>
        <w:rPr>
          <w:rFonts w:eastAsia="Times New Roman" w:cs="Times New Roman"/>
          <w:b w:val="false"/>
          <w:bCs w:val="false"/>
          <w:i w:val="false"/>
          <w:iCs w:val="false"/>
          <w:color w:val="000000" w:themeColor="dark1"/>
          <w:sz w:val="24"/>
          <w:szCs w:val="24"/>
        </w:rPr>
        <w:t>. Londres: SAGE Publications, 2009.</w:t>
      </w:r>
    </w:p>
    <w:p>
      <w:pPr>
        <w:pStyle w:val="Bibliografia1"/>
        <w:rPr/>
      </w:pPr>
      <w:r>
        <w:rPr/>
        <w:t>DUDA</w:t>
      </w:r>
      <w:r>
        <w:rPr/>
        <w:t xml:space="preserve">, Maciej. Sarajewo jako metafora. Miasto i mit. </w:t>
      </w:r>
      <w:r>
        <w:rPr>
          <w:b/>
          <w:bCs/>
        </w:rPr>
        <w:t>Białostockie Studia Literaturoznawcze</w:t>
      </w:r>
      <w:r>
        <w:rPr/>
        <w:t>, Białystok, n. 3, 2012.</w:t>
      </w:r>
    </w:p>
    <w:p>
      <w:pPr>
        <w:pStyle w:val="Bibliografia1"/>
        <w:rPr/>
      </w:pPr>
      <w:r>
        <w:rPr>
          <w:rFonts w:eastAsia="Times New Roman" w:cs="Times New Roman"/>
          <w:b w:val="false"/>
          <w:bCs w:val="false"/>
          <w:i w:val="false"/>
          <w:iCs w:val="false"/>
          <w:color w:val="000000" w:themeColor="dark1"/>
          <w:sz w:val="24"/>
          <w:szCs w:val="24"/>
        </w:rPr>
        <w:t xml:space="preserve">FINLAN, Alastair. </w:t>
      </w:r>
      <w:r>
        <w:rPr>
          <w:rFonts w:eastAsia="Times New Roman" w:cs="Times New Roman"/>
          <w:b/>
          <w:bCs/>
          <w:i w:val="false"/>
          <w:iCs w:val="false"/>
          <w:color w:val="000000" w:themeColor="dark1"/>
          <w:sz w:val="24"/>
          <w:szCs w:val="24"/>
        </w:rPr>
        <w:t>The Collapse of Yugoslavia 1991–1999.</w:t>
      </w:r>
      <w:r>
        <w:rPr>
          <w:rFonts w:eastAsia="Times New Roman" w:cs="Times New Roman"/>
          <w:b w:val="false"/>
          <w:bCs w:val="false"/>
          <w:i w:val="false"/>
          <w:iCs w:val="false"/>
          <w:color w:val="000000" w:themeColor="dark1"/>
          <w:sz w:val="24"/>
          <w:szCs w:val="24"/>
        </w:rPr>
        <w:t xml:space="preserve"> Oxford: Osprey Publishing, 2004.</w:t>
      </w:r>
    </w:p>
    <w:p>
      <w:pPr>
        <w:pStyle w:val="Bibliografia1"/>
        <w:rPr/>
      </w:pPr>
      <w:r>
        <w:rPr>
          <w:rFonts w:eastAsia="Times New Roman" w:cs="Times New Roman"/>
          <w:b w:val="false"/>
          <w:bCs w:val="false"/>
          <w:i w:val="false"/>
          <w:iCs w:val="false"/>
          <w:color w:val="000000" w:themeColor="dark1"/>
          <w:sz w:val="24"/>
          <w:szCs w:val="24"/>
        </w:rPr>
        <w:t xml:space="preserve">FOUCAULT, M. </w:t>
      </w:r>
      <w:r>
        <w:rPr>
          <w:rFonts w:eastAsia="Times New Roman" w:cs="Times New Roman"/>
          <w:b/>
          <w:bCs/>
          <w:i w:val="false"/>
          <w:iCs w:val="false"/>
          <w:color w:val="000000" w:themeColor="dark1"/>
          <w:sz w:val="24"/>
          <w:szCs w:val="24"/>
        </w:rPr>
        <w:t>Nascimento da biopolítica</w:t>
      </w:r>
      <w:r>
        <w:rPr>
          <w:rFonts w:eastAsia="Times New Roman" w:cs="Times New Roman"/>
          <w:b w:val="false"/>
          <w:bCs w:val="false"/>
          <w:i w:val="false"/>
          <w:iCs w:val="false"/>
          <w:color w:val="000000" w:themeColor="dark1"/>
          <w:sz w:val="24"/>
          <w:szCs w:val="24"/>
        </w:rPr>
        <w:t>. São Paulo: Martins Fontes, 2008.</w:t>
      </w:r>
    </w:p>
    <w:p>
      <w:pPr>
        <w:pStyle w:val="Bibliografia1"/>
        <w:rPr/>
      </w:pPr>
      <w:r>
        <w:rPr>
          <w:rFonts w:eastAsia="Times New Roman" w:cs="Times New Roman"/>
          <w:b w:val="false"/>
          <w:bCs w:val="false"/>
          <w:i w:val="false"/>
          <w:iCs w:val="false"/>
          <w:color w:val="000000" w:themeColor="dark1"/>
          <w:sz w:val="24"/>
          <w:szCs w:val="24"/>
        </w:rPr>
        <w:t xml:space="preserve">GALTUNG, Johan. Violence, peace, and peace research. </w:t>
      </w:r>
      <w:r>
        <w:rPr>
          <w:rFonts w:eastAsia="Times New Roman" w:cs="Times New Roman"/>
          <w:b/>
          <w:bCs/>
          <w:i w:val="false"/>
          <w:iCs w:val="false"/>
          <w:color w:val="000000" w:themeColor="dark1"/>
          <w:sz w:val="24"/>
          <w:szCs w:val="24"/>
        </w:rPr>
        <w:t>Journal of peace research</w:t>
      </w:r>
      <w:r>
        <w:rPr>
          <w:rFonts w:eastAsia="Times New Roman" w:cs="Times New Roman"/>
          <w:b w:val="false"/>
          <w:bCs w:val="false"/>
          <w:i w:val="false"/>
          <w:iCs w:val="false"/>
          <w:color w:val="000000" w:themeColor="dark1"/>
          <w:sz w:val="24"/>
          <w:szCs w:val="24"/>
        </w:rPr>
        <w:t>, v. 6, n. 3, 1969.</w:t>
      </w:r>
    </w:p>
    <w:p>
      <w:pPr>
        <w:pStyle w:val="Bibliografia1"/>
        <w:rPr/>
      </w:pPr>
      <w:r>
        <w:rPr>
          <w:rFonts w:eastAsia="Times New Roman" w:cs="Times New Roman"/>
          <w:b w:val="false"/>
          <w:bCs w:val="false"/>
          <w:i w:val="false"/>
          <w:iCs w:val="false"/>
          <w:color w:val="000000" w:themeColor="dark1"/>
          <w:sz w:val="24"/>
          <w:szCs w:val="24"/>
        </w:rPr>
        <w:t>GAZZINI, Tarcisio.</w:t>
      </w:r>
      <w:r>
        <w:rPr>
          <w:rFonts w:eastAsia="Times New Roman" w:cs="Times New Roman"/>
          <w:b/>
          <w:bCs/>
          <w:i w:val="false"/>
          <w:iCs w:val="false"/>
          <w:color w:val="000000" w:themeColor="dark1"/>
          <w:sz w:val="24"/>
          <w:szCs w:val="24"/>
        </w:rPr>
        <w:t xml:space="preserve"> The changing rules on the use of force in international law.</w:t>
      </w:r>
      <w:r>
        <w:rPr>
          <w:rFonts w:eastAsia="Times New Roman" w:cs="Times New Roman"/>
          <w:b w:val="false"/>
          <w:bCs w:val="false"/>
          <w:i w:val="false"/>
          <w:iCs w:val="false"/>
          <w:color w:val="000000" w:themeColor="dark1"/>
          <w:sz w:val="24"/>
          <w:szCs w:val="24"/>
        </w:rPr>
        <w:t xml:space="preserve"> Manchester: Manchester University Press, 2005.</w:t>
      </w:r>
    </w:p>
    <w:p>
      <w:pPr>
        <w:pStyle w:val="Bibliografia1"/>
        <w:rPr/>
      </w:pPr>
      <w:r>
        <w:rPr>
          <w:rFonts w:eastAsia="Times New Roman" w:cs="Times New Roman"/>
          <w:b w:val="false"/>
          <w:bCs w:val="false"/>
          <w:i w:val="false"/>
          <w:iCs w:val="false"/>
          <w:color w:val="000000" w:themeColor="dark1"/>
          <w:sz w:val="24"/>
          <w:szCs w:val="24"/>
        </w:rPr>
        <w:t xml:space="preserve">GIEBA, Kamila. Territory of agon: civilian perspective in a besieged city in the computer game This War of Mine. </w:t>
      </w:r>
      <w:r>
        <w:rPr>
          <w:rFonts w:eastAsia="Times New Roman" w:cs="Times New Roman"/>
          <w:b/>
          <w:bCs/>
          <w:i w:val="false"/>
          <w:iCs w:val="false"/>
          <w:color w:val="000000" w:themeColor="dark1"/>
          <w:sz w:val="24"/>
          <w:szCs w:val="24"/>
        </w:rPr>
        <w:t>Future Human Image</w:t>
      </w:r>
      <w:r>
        <w:rPr>
          <w:rFonts w:eastAsia="Times New Roman" w:cs="Times New Roman"/>
          <w:b w:val="false"/>
          <w:bCs w:val="false"/>
          <w:i w:val="false"/>
          <w:iCs w:val="false"/>
          <w:color w:val="000000" w:themeColor="dark1"/>
          <w:sz w:val="24"/>
          <w:szCs w:val="24"/>
        </w:rPr>
        <w:t>, v. 12, p. 22–27, 2019. DOI: 10.29202/fhi/12/2.</w:t>
      </w:r>
    </w:p>
    <w:p>
      <w:pPr>
        <w:pStyle w:val="Bibliografia1"/>
        <w:rPr/>
      </w:pPr>
      <w:r>
        <w:rPr>
          <w:rFonts w:eastAsia="Times New Roman" w:cs="Times New Roman"/>
          <w:b w:val="false"/>
          <w:bCs w:val="false"/>
          <w:i w:val="false"/>
          <w:iCs w:val="false"/>
          <w:color w:val="000000" w:themeColor="dark1"/>
          <w:sz w:val="24"/>
          <w:szCs w:val="24"/>
        </w:rPr>
        <w:t xml:space="preserve">GIUFFRIDA, Angela; WILLSHER, Kim. </w:t>
      </w:r>
      <w:r>
        <w:rPr>
          <w:rFonts w:eastAsia="Times New Roman" w:cs="Times New Roman"/>
          <w:b/>
          <w:bCs/>
          <w:i w:val="false"/>
          <w:iCs w:val="false"/>
          <w:color w:val="000000" w:themeColor="dark1"/>
          <w:sz w:val="24"/>
          <w:szCs w:val="24"/>
        </w:rPr>
        <w:t>Milan prosecutors investigate alleged ‘sniper tourism’ during Bosnian war.</w:t>
      </w:r>
      <w:r>
        <w:rPr>
          <w:rFonts w:eastAsia="Times New Roman" w:cs="Times New Roman"/>
          <w:b w:val="false"/>
          <w:bCs w:val="false"/>
          <w:i w:val="false"/>
          <w:iCs w:val="false"/>
          <w:color w:val="000000" w:themeColor="dark1"/>
          <w:sz w:val="24"/>
          <w:szCs w:val="24"/>
        </w:rPr>
        <w:t xml:space="preserve"> The Guardian, 2025. Disponível em: </w:t>
      </w:r>
      <w:hyperlink r:id="rId6">
        <w:r>
          <w:rPr>
            <w:rStyle w:val="LinkdaInternet"/>
            <w:rFonts w:eastAsia="Times New Roman" w:cs="Times New Roman"/>
            <w:b w:val="false"/>
            <w:bCs w:val="false"/>
            <w:i w:val="false"/>
            <w:iCs w:val="false"/>
            <w:color w:val="000000" w:themeColor="dark1"/>
            <w:sz w:val="24"/>
            <w:szCs w:val="24"/>
          </w:rPr>
          <w:t>https://www.theguardian.com/world/2025/nov/11/milan-prosecutors-investigate-alleged-sniper-tourism-during-bosnian-war</w:t>
        </w:r>
      </w:hyperlink>
      <w:r>
        <w:rPr>
          <w:rFonts w:eastAsia="Times New Roman" w:cs="Times New Roman"/>
          <w:b w:val="false"/>
          <w:bCs w:val="false"/>
          <w:i w:val="false"/>
          <w:iCs w:val="false"/>
          <w:color w:val="000000" w:themeColor="dark1"/>
          <w:sz w:val="24"/>
          <w:szCs w:val="24"/>
        </w:rPr>
        <w:t xml:space="preserve"> Acesso em: 3 de Abril de 2026.</w:t>
      </w:r>
    </w:p>
    <w:p>
      <w:pPr>
        <w:pStyle w:val="Bibliografia1"/>
        <w:rPr/>
      </w:pPr>
      <w:r>
        <w:rPr>
          <w:rFonts w:eastAsia="Times New Roman" w:cs="Times New Roman"/>
          <w:b w:val="false"/>
          <w:bCs w:val="false"/>
          <w:i w:val="false"/>
          <w:iCs w:val="false"/>
          <w:color w:val="000000" w:themeColor="dark1"/>
          <w:sz w:val="24"/>
          <w:szCs w:val="24"/>
        </w:rPr>
        <w:t xml:space="preserve">GÖDL, Doris. “Challenging the Past: Serbian and Croatian Aggressor—Victim Narratives”. </w:t>
      </w:r>
      <w:r>
        <w:rPr>
          <w:rFonts w:eastAsia="Times New Roman" w:cs="Times New Roman"/>
          <w:b/>
          <w:bCs/>
          <w:i w:val="false"/>
          <w:iCs w:val="false"/>
          <w:color w:val="000000" w:themeColor="dark1"/>
          <w:sz w:val="24"/>
          <w:szCs w:val="24"/>
        </w:rPr>
        <w:t>International Journal of Sociology</w:t>
      </w:r>
      <w:r>
        <w:rPr>
          <w:rFonts w:eastAsia="Times New Roman" w:cs="Times New Roman"/>
          <w:b w:val="false"/>
          <w:bCs w:val="false"/>
          <w:i w:val="false"/>
          <w:iCs w:val="false"/>
          <w:color w:val="000000" w:themeColor="dark1"/>
          <w:sz w:val="24"/>
          <w:szCs w:val="24"/>
        </w:rPr>
        <w:t>. 37. 2007</w:t>
      </w:r>
    </w:p>
    <w:p>
      <w:pPr>
        <w:pStyle w:val="Bibliografia1"/>
        <w:rPr/>
      </w:pPr>
      <w:r>
        <w:rPr>
          <w:rFonts w:eastAsia="Times New Roman" w:cs="Times New Roman"/>
          <w:b w:val="false"/>
          <w:bCs w:val="false"/>
          <w:i w:val="false"/>
          <w:iCs w:val="false"/>
          <w:color w:val="000000" w:themeColor="dark1"/>
          <w:sz w:val="24"/>
          <w:szCs w:val="24"/>
        </w:rPr>
        <w:t xml:space="preserve">HANDRAHAN, Matthew. </w:t>
      </w:r>
      <w:r>
        <w:rPr>
          <w:rFonts w:eastAsia="Times New Roman" w:cs="Times New Roman"/>
          <w:b/>
          <w:bCs/>
          <w:i w:val="false"/>
          <w:iCs w:val="false"/>
          <w:color w:val="000000" w:themeColor="dark1"/>
          <w:sz w:val="24"/>
          <w:szCs w:val="24"/>
        </w:rPr>
        <w:t xml:space="preserve">This War of Mine will be added to school reading list in Poland. </w:t>
      </w:r>
      <w:r>
        <w:rPr>
          <w:rFonts w:eastAsia="Times New Roman" w:cs="Times New Roman"/>
          <w:b w:val="false"/>
          <w:bCs w:val="false"/>
          <w:i w:val="false"/>
          <w:iCs w:val="false"/>
          <w:color w:val="000000" w:themeColor="dark1"/>
          <w:sz w:val="24"/>
          <w:szCs w:val="24"/>
        </w:rPr>
        <w:t xml:space="preserve">Game Industry, 2020. Disponível em: </w:t>
      </w:r>
      <w:hyperlink r:id="rId7">
        <w:r>
          <w:rPr>
            <w:rStyle w:val="LinkdaInternet"/>
            <w:rFonts w:eastAsia="Times New Roman" w:cs="Times New Roman"/>
            <w:b w:val="false"/>
            <w:bCs w:val="false"/>
            <w:i w:val="false"/>
            <w:iCs w:val="false"/>
            <w:color w:val="000000" w:themeColor="dark1"/>
            <w:sz w:val="24"/>
            <w:szCs w:val="24"/>
          </w:rPr>
          <w:t>https://www.gamesindustry.biz/this-war-of-mine-will-be-added-to-polish-schools-reading-list</w:t>
        </w:r>
      </w:hyperlink>
      <w:r>
        <w:rPr>
          <w:rFonts w:eastAsia="Times New Roman" w:cs="Times New Roman"/>
          <w:b w:val="false"/>
          <w:bCs w:val="false"/>
          <w:i w:val="false"/>
          <w:iCs w:val="false"/>
          <w:color w:val="000000" w:themeColor="dark1"/>
          <w:sz w:val="24"/>
          <w:szCs w:val="24"/>
        </w:rPr>
        <w:t xml:space="preserve"> Acesso em: 4 de Abril de 2026.</w:t>
      </w:r>
    </w:p>
    <w:p>
      <w:pPr>
        <w:pStyle w:val="Bibliografia1"/>
        <w:rPr>
          <w:b w:val="false"/>
          <w:bCs w:val="false"/>
        </w:rPr>
      </w:pPr>
      <w:r>
        <w:rPr>
          <w:rFonts w:eastAsia="Times New Roman" w:cs="Times New Roman"/>
          <w:b w:val="false"/>
          <w:bCs w:val="false"/>
          <w:i w:val="false"/>
          <w:iCs w:val="false"/>
          <w:color w:val="000000" w:themeColor="dark1"/>
          <w:sz w:val="24"/>
          <w:szCs w:val="24"/>
        </w:rPr>
        <w:t xml:space="preserve">HARTMANN, Florance. </w:t>
      </w:r>
      <w:r>
        <w:rPr>
          <w:rFonts w:eastAsia="Times New Roman" w:cs="Times New Roman"/>
          <w:b/>
          <w:bCs/>
          <w:i w:val="false"/>
          <w:iCs w:val="false"/>
          <w:color w:val="000000" w:themeColor="dark1"/>
          <w:sz w:val="24"/>
          <w:szCs w:val="24"/>
        </w:rPr>
        <w:t>A Statement at the Seventh Biennial Meeting of the International Association of Genocide Scholars.</w:t>
      </w:r>
      <w:r>
        <w:rPr>
          <w:rFonts w:eastAsia="Times New Roman" w:cs="Times New Roman"/>
          <w:b w:val="false"/>
          <w:bCs w:val="false"/>
          <w:i w:val="false"/>
          <w:iCs w:val="false"/>
          <w:color w:val="000000" w:themeColor="dark1"/>
          <w:sz w:val="24"/>
          <w:szCs w:val="24"/>
        </w:rPr>
        <w:t xml:space="preserve"> Helsinki, 2007. Disponível em: </w:t>
      </w:r>
      <w:hyperlink r:id="rId8">
        <w:r>
          <w:rPr>
            <w:rStyle w:val="LinkdaInternet"/>
            <w:rFonts w:eastAsia="Times New Roman" w:cs="Times New Roman"/>
            <w:b w:val="false"/>
            <w:bCs w:val="false"/>
            <w:i w:val="false"/>
            <w:iCs w:val="false"/>
            <w:color w:val="000000" w:themeColor="dark1"/>
            <w:sz w:val="24"/>
            <w:szCs w:val="24"/>
          </w:rPr>
          <w:t>https://www.helsinki.org.rs/tjgenocide_t01.html</w:t>
        </w:r>
      </w:hyperlink>
      <w:r>
        <w:rPr>
          <w:rFonts w:eastAsia="Times New Roman" w:cs="Times New Roman"/>
          <w:b w:val="false"/>
          <w:bCs w:val="false"/>
          <w:i w:val="false"/>
          <w:iCs w:val="false"/>
          <w:color w:val="000000" w:themeColor="dark1"/>
          <w:sz w:val="24"/>
          <w:szCs w:val="24"/>
        </w:rPr>
        <w:t xml:space="preserve"> Acesso em: 2 de Abril de 2026.</w:t>
      </w:r>
    </w:p>
    <w:p>
      <w:pPr>
        <w:pStyle w:val="Bibliografia1"/>
        <w:rPr>
          <w:b w:val="false"/>
          <w:bCs w:val="false"/>
        </w:rPr>
      </w:pPr>
      <w:r>
        <w:rPr>
          <w:rFonts w:eastAsia="Times New Roman" w:cs="Times New Roman"/>
          <w:b w:val="false"/>
          <w:bCs w:val="false"/>
          <w:i w:val="false"/>
          <w:iCs w:val="false"/>
          <w:color w:val="000000" w:themeColor="dark1"/>
          <w:sz w:val="24"/>
          <w:szCs w:val="24"/>
        </w:rPr>
        <w:t xml:space="preserve">JUDAH, Tim. </w:t>
      </w:r>
      <w:r>
        <w:rPr>
          <w:rFonts w:eastAsia="Times New Roman" w:cs="Times New Roman"/>
          <w:b/>
          <w:bCs/>
          <w:i w:val="false"/>
          <w:iCs w:val="false"/>
          <w:color w:val="000000" w:themeColor="dark1"/>
          <w:sz w:val="24"/>
          <w:szCs w:val="24"/>
        </w:rPr>
        <w:t>The Serbs: History, Myth and the Destruction of Yugoslavi.</w:t>
      </w:r>
      <w:r>
        <w:rPr>
          <w:rFonts w:eastAsia="Times New Roman" w:cs="Times New Roman"/>
          <w:b w:val="false"/>
          <w:bCs w:val="false"/>
          <w:i w:val="false"/>
          <w:iCs w:val="false"/>
          <w:color w:val="000000" w:themeColor="dark1"/>
          <w:sz w:val="24"/>
          <w:szCs w:val="24"/>
        </w:rPr>
        <w:t xml:space="preserve"> Yale University Press. 2008</w:t>
      </w:r>
    </w:p>
    <w:p>
      <w:pPr>
        <w:pStyle w:val="Bibliografia1"/>
        <w:rPr>
          <w:b w:val="false"/>
          <w:bCs w:val="false"/>
        </w:rPr>
      </w:pPr>
      <w:r>
        <w:rPr>
          <w:rFonts w:eastAsia="Times New Roman" w:cs="Times New Roman"/>
          <w:b w:val="false"/>
          <w:bCs w:val="false"/>
          <w:i w:val="false"/>
          <w:iCs w:val="false"/>
          <w:color w:val="000000" w:themeColor="dark1"/>
          <w:sz w:val="24"/>
          <w:szCs w:val="24"/>
        </w:rPr>
        <w:t>JUDT, Tony.</w:t>
      </w:r>
      <w:r>
        <w:rPr>
          <w:rFonts w:eastAsia="Times New Roman" w:cs="Times New Roman"/>
          <w:b/>
          <w:bCs/>
          <w:i w:val="false"/>
          <w:iCs w:val="false"/>
          <w:color w:val="000000" w:themeColor="dark1"/>
          <w:sz w:val="24"/>
          <w:szCs w:val="24"/>
        </w:rPr>
        <w:t xml:space="preserve"> Pós-guerra: uma história da Europa desde 1945.</w:t>
      </w:r>
      <w:r>
        <w:rPr>
          <w:rFonts w:eastAsia="Times New Roman" w:cs="Times New Roman"/>
          <w:b w:val="false"/>
          <w:bCs w:val="false"/>
          <w:i w:val="false"/>
          <w:iCs w:val="false"/>
          <w:color w:val="000000" w:themeColor="dark1"/>
          <w:sz w:val="24"/>
          <w:szCs w:val="24"/>
        </w:rPr>
        <w:t xml:space="preserve"> Rio de Janeiro: Objetiva, 2008.</w:t>
      </w:r>
    </w:p>
    <w:p>
      <w:pPr>
        <w:pStyle w:val="Bibliografia1"/>
        <w:rPr>
          <w:b w:val="false"/>
          <w:bCs w:val="false"/>
        </w:rPr>
      </w:pPr>
      <w:r>
        <w:rPr>
          <w:rFonts w:eastAsia="Times New Roman" w:cs="Times New Roman"/>
          <w:b w:val="false"/>
          <w:bCs w:val="false"/>
          <w:i w:val="false"/>
          <w:iCs w:val="false"/>
          <w:color w:val="000000" w:themeColor="dark1"/>
          <w:sz w:val="24"/>
          <w:szCs w:val="24"/>
        </w:rPr>
        <w:t>KOWALCZYK, Tatiana. “</w:t>
      </w:r>
      <w:r>
        <w:rPr>
          <w:rFonts w:eastAsia="Times New Roman" w:cs="Times New Roman"/>
          <w:b/>
          <w:bCs/>
          <w:i w:val="false"/>
          <w:iCs w:val="false"/>
          <w:color w:val="000000" w:themeColor="dark1"/>
          <w:sz w:val="24"/>
          <w:szCs w:val="24"/>
        </w:rPr>
        <w:t>Robimy gry dla graczy” – wywiad z Pawłem Miechowskim z 11bit Studios.</w:t>
      </w:r>
      <w:r>
        <w:rPr>
          <w:rFonts w:eastAsia="Times New Roman" w:cs="Times New Roman"/>
          <w:b w:val="false"/>
          <w:bCs w:val="false"/>
          <w:i w:val="false"/>
          <w:iCs w:val="false"/>
          <w:color w:val="000000" w:themeColor="dark1"/>
          <w:sz w:val="24"/>
          <w:szCs w:val="24"/>
        </w:rPr>
        <w:t xml:space="preserve"> Komputer Swiat, 2015. Disponível em: </w:t>
      </w:r>
      <w:hyperlink r:id="rId9">
        <w:r>
          <w:rPr>
            <w:rStyle w:val="LinkdaInternet"/>
            <w:rFonts w:eastAsia="Times New Roman" w:cs="Times New Roman"/>
            <w:b w:val="false"/>
            <w:bCs w:val="false"/>
            <w:i w:val="false"/>
            <w:iCs w:val="false"/>
            <w:color w:val="000000" w:themeColor="dark1"/>
            <w:sz w:val="24"/>
            <w:szCs w:val="24"/>
          </w:rPr>
          <w:t>https://www.komputerswiat.pl/gaming/gry/robimy-gry-dla-graczy-wywiad-z-pawlem-miechowskim-z-11bit-studios/1mhmkl6</w:t>
        </w:r>
      </w:hyperlink>
      <w:r>
        <w:rPr>
          <w:rFonts w:eastAsia="Times New Roman" w:cs="Times New Roman"/>
          <w:b w:val="false"/>
          <w:bCs w:val="false"/>
          <w:i w:val="false"/>
          <w:iCs w:val="false"/>
          <w:color w:val="000000" w:themeColor="dark1"/>
          <w:sz w:val="24"/>
          <w:szCs w:val="24"/>
        </w:rPr>
        <w:t xml:space="preserve"> Acesso em: 4 de Abril de 2026.</w:t>
      </w:r>
    </w:p>
    <w:p>
      <w:pPr>
        <w:pStyle w:val="Bibliografia1"/>
        <w:rPr>
          <w:b w:val="false"/>
          <w:bCs w:val="false"/>
        </w:rPr>
      </w:pPr>
      <w:r>
        <w:rPr>
          <w:rFonts w:eastAsia="Times New Roman" w:cs="Times New Roman"/>
          <w:b w:val="false"/>
          <w:bCs w:val="false"/>
          <w:i w:val="false"/>
          <w:iCs w:val="false"/>
          <w:color w:val="000000" w:themeColor="dark1"/>
          <w:sz w:val="24"/>
          <w:szCs w:val="24"/>
        </w:rPr>
        <w:t xml:space="preserve">KUMAR, Radha. </w:t>
      </w:r>
      <w:r>
        <w:rPr>
          <w:rStyle w:val="Nfase"/>
          <w:rFonts w:eastAsia="Times New Roman" w:cs="Times New Roman"/>
          <w:b/>
          <w:bCs/>
          <w:i w:val="false"/>
          <w:iCs w:val="false"/>
          <w:color w:val="000000" w:themeColor="dark1"/>
          <w:sz w:val="24"/>
          <w:szCs w:val="24"/>
        </w:rPr>
        <w:t>Divide and fall? Bosnia in the annals of partition</w:t>
      </w:r>
      <w:r>
        <w:rPr>
          <w:rFonts w:eastAsia="Times New Roman" w:cs="Times New Roman"/>
          <w:b/>
          <w:bCs/>
          <w:i w:val="false"/>
          <w:iCs w:val="false"/>
          <w:color w:val="000000" w:themeColor="dark1"/>
          <w:sz w:val="24"/>
          <w:szCs w:val="24"/>
        </w:rPr>
        <w:t>.</w:t>
      </w:r>
      <w:r>
        <w:rPr>
          <w:rFonts w:eastAsia="Times New Roman" w:cs="Times New Roman"/>
          <w:b w:val="false"/>
          <w:bCs w:val="false"/>
          <w:i w:val="false"/>
          <w:iCs w:val="false"/>
          <w:color w:val="000000" w:themeColor="dark1"/>
          <w:sz w:val="24"/>
          <w:szCs w:val="24"/>
        </w:rPr>
        <w:t xml:space="preserve"> London: Verso, 1999. </w:t>
      </w:r>
    </w:p>
    <w:p>
      <w:pPr>
        <w:pStyle w:val="Bibliografia1"/>
        <w:rPr>
          <w:b w:val="false"/>
          <w:bCs w:val="false"/>
        </w:rPr>
      </w:pPr>
      <w:r>
        <w:rPr>
          <w:rFonts w:eastAsia="Times New Roman" w:cs="Times New Roman"/>
          <w:b w:val="false"/>
          <w:bCs w:val="false"/>
          <w:i w:val="false"/>
          <w:iCs w:val="false"/>
          <w:color w:val="000000" w:themeColor="dark1"/>
          <w:sz w:val="24"/>
          <w:szCs w:val="24"/>
        </w:rPr>
        <w:t xml:space="preserve">LAMPE, John R. </w:t>
      </w:r>
      <w:r>
        <w:rPr>
          <w:rFonts w:eastAsia="Times New Roman" w:cs="Times New Roman"/>
          <w:b/>
          <w:bCs/>
          <w:i w:val="false"/>
          <w:iCs w:val="false"/>
          <w:color w:val="000000" w:themeColor="dark1"/>
          <w:sz w:val="24"/>
          <w:szCs w:val="24"/>
        </w:rPr>
        <w:t xml:space="preserve">Yugoslavia as History: Twice There Was a Country. </w:t>
      </w:r>
      <w:r>
        <w:rPr>
          <w:rFonts w:eastAsia="Times New Roman" w:cs="Times New Roman"/>
          <w:b w:val="false"/>
          <w:bCs w:val="false"/>
          <w:i w:val="false"/>
          <w:iCs w:val="false"/>
          <w:color w:val="000000" w:themeColor="dark1"/>
          <w:sz w:val="24"/>
          <w:szCs w:val="24"/>
        </w:rPr>
        <w:t>Cambridge University Press. 2000.</w:t>
      </w:r>
    </w:p>
    <w:p>
      <w:pPr>
        <w:pStyle w:val="Bibliografia1"/>
        <w:rPr/>
      </w:pPr>
      <w:r>
        <w:rPr>
          <w:rFonts w:eastAsia="Times New Roman" w:cs="Times New Roman"/>
          <w:b w:val="false"/>
          <w:bCs w:val="false"/>
          <w:i w:val="false"/>
          <w:iCs w:val="false"/>
          <w:color w:val="000000" w:themeColor="dark1"/>
          <w:sz w:val="24"/>
          <w:szCs w:val="24"/>
        </w:rPr>
        <w:t xml:space="preserve">MACKENZIE, Lewis. </w:t>
      </w:r>
      <w:r>
        <w:rPr>
          <w:rFonts w:eastAsia="Times New Roman" w:cs="Times New Roman"/>
          <w:b/>
          <w:bCs/>
          <w:i w:val="false"/>
          <w:iCs w:val="false"/>
          <w:color w:val="000000" w:themeColor="dark1"/>
          <w:sz w:val="24"/>
          <w:szCs w:val="24"/>
        </w:rPr>
        <w:t xml:space="preserve">Peacekeeper: The Road to Sarajevo. </w:t>
      </w:r>
      <w:r>
        <w:rPr>
          <w:rFonts w:eastAsia="Times New Roman" w:cs="Times New Roman"/>
          <w:b w:val="false"/>
          <w:bCs w:val="false"/>
          <w:i w:val="false"/>
          <w:iCs w:val="false"/>
          <w:color w:val="000000" w:themeColor="dark1"/>
          <w:sz w:val="24"/>
          <w:szCs w:val="24"/>
        </w:rPr>
        <w:t>LewisMacKenzie, 1993.</w:t>
      </w:r>
    </w:p>
    <w:p>
      <w:pPr>
        <w:pStyle w:val="Bibliografia1"/>
        <w:rPr/>
      </w:pPr>
      <w:r>
        <w:rPr>
          <w:rFonts w:eastAsia="Times New Roman" w:cs="Times New Roman"/>
          <w:b w:val="false"/>
          <w:bCs w:val="false"/>
          <w:i w:val="false"/>
          <w:iCs w:val="false"/>
          <w:color w:val="000000" w:themeColor="dark1"/>
          <w:sz w:val="24"/>
          <w:szCs w:val="24"/>
        </w:rPr>
        <w:t>MAIBERG, Emanuel.</w:t>
      </w:r>
      <w:r>
        <w:rPr>
          <w:rFonts w:eastAsia="Times New Roman" w:cs="Times New Roman"/>
          <w:b/>
          <w:bCs/>
          <w:i w:val="false"/>
          <w:iCs w:val="false"/>
          <w:color w:val="000000" w:themeColor="dark1"/>
          <w:sz w:val="24"/>
          <w:szCs w:val="24"/>
        </w:rPr>
        <w:t xml:space="preserve"> Survive the horrors of war as a civilian in This War of Mine</w:t>
      </w:r>
      <w:r>
        <w:rPr>
          <w:rFonts w:eastAsia="Times New Roman" w:cs="Times New Roman"/>
          <w:b w:val="false"/>
          <w:bCs w:val="false"/>
          <w:i w:val="false"/>
          <w:iCs w:val="false"/>
          <w:color w:val="000000" w:themeColor="dark1"/>
          <w:sz w:val="24"/>
          <w:szCs w:val="24"/>
        </w:rPr>
        <w:t xml:space="preserve">. PC Gamer, 2014. Disponível em: </w:t>
      </w:r>
      <w:hyperlink r:id="rId10">
        <w:r>
          <w:rPr>
            <w:rStyle w:val="LinkdaInternet"/>
            <w:rFonts w:eastAsia="Times New Roman" w:cs="Times New Roman"/>
            <w:b w:val="false"/>
            <w:bCs w:val="false"/>
            <w:i w:val="false"/>
            <w:iCs w:val="false"/>
            <w:color w:val="000000" w:themeColor="dark1"/>
            <w:sz w:val="24"/>
            <w:szCs w:val="24"/>
          </w:rPr>
          <w:t>https://www.pcgamer.com/survive-the-horrors-of-war-as-a-civilian-in-this-war-of-mine/</w:t>
        </w:r>
      </w:hyperlink>
      <w:r>
        <w:rPr>
          <w:rFonts w:eastAsia="Times New Roman" w:cs="Times New Roman"/>
          <w:b w:val="false"/>
          <w:bCs w:val="false"/>
          <w:i w:val="false"/>
          <w:iCs w:val="false"/>
          <w:color w:val="000000" w:themeColor="dark1"/>
          <w:sz w:val="24"/>
          <w:szCs w:val="24"/>
        </w:rPr>
        <w:t xml:space="preserve"> Acesso em: 8 de Janeiro de 2025.</w:t>
      </w:r>
    </w:p>
    <w:p>
      <w:pPr>
        <w:pStyle w:val="Bibliografia1"/>
        <w:rPr/>
      </w:pPr>
      <w:r>
        <w:rPr>
          <w:rFonts w:eastAsia="Times New Roman" w:cs="Times New Roman"/>
          <w:b w:val="false"/>
          <w:bCs w:val="false"/>
          <w:i w:val="false"/>
          <w:iCs w:val="false"/>
          <w:color w:val="000000" w:themeColor="dark1"/>
          <w:sz w:val="24"/>
          <w:szCs w:val="24"/>
        </w:rPr>
        <w:t xml:space="preserve">MBEMBE, Achille. </w:t>
      </w:r>
      <w:r>
        <w:rPr>
          <w:rFonts w:eastAsia="Times New Roman" w:cs="Times New Roman"/>
          <w:b/>
          <w:bCs/>
          <w:i w:val="false"/>
          <w:iCs w:val="false"/>
          <w:color w:val="000000" w:themeColor="dark1"/>
          <w:sz w:val="24"/>
          <w:szCs w:val="24"/>
        </w:rPr>
        <w:t>Necropolítica</w:t>
      </w:r>
      <w:r>
        <w:rPr>
          <w:rFonts w:eastAsia="Times New Roman" w:cs="Times New Roman"/>
          <w:b w:val="false"/>
          <w:bCs w:val="false"/>
          <w:i w:val="false"/>
          <w:iCs w:val="false"/>
          <w:color w:val="000000" w:themeColor="dark1"/>
          <w:sz w:val="24"/>
          <w:szCs w:val="24"/>
        </w:rPr>
        <w:t>. São Paulo: n-1 Edições, 2018a.</w:t>
      </w:r>
    </w:p>
    <w:p>
      <w:pPr>
        <w:pStyle w:val="Bibliografia1"/>
        <w:rPr/>
      </w:pPr>
      <w:r>
        <w:rPr/>
        <w:t>PIOTROWIAK, Miłosz. Nowe doświadczenie wojny. “This War of Mine”. Śl</w:t>
      </w:r>
      <w:r>
        <w:rPr>
          <w:b/>
          <w:bCs/>
        </w:rPr>
        <w:t>ąskie Studia Polonistyczne</w:t>
      </w:r>
      <w:r>
        <w:rPr/>
        <w:t>, n. 1, 2017.</w:t>
      </w:r>
    </w:p>
    <w:p>
      <w:pPr>
        <w:pStyle w:val="Bibliografia1"/>
        <w:rPr/>
      </w:pPr>
      <w:r>
        <w:rPr>
          <w:rFonts w:eastAsia="Times New Roman" w:cs="Times New Roman"/>
          <w:b w:val="false"/>
          <w:bCs w:val="false"/>
          <w:i w:val="false"/>
          <w:iCs w:val="false"/>
          <w:color w:val="000000" w:themeColor="dark1"/>
          <w:sz w:val="24"/>
          <w:szCs w:val="24"/>
        </w:rPr>
        <w:t xml:space="preserve">RAINSFORD, Sarah. </w:t>
      </w:r>
      <w:r>
        <w:rPr>
          <w:rFonts w:eastAsia="Times New Roman" w:cs="Times New Roman"/>
          <w:b/>
          <w:bCs/>
          <w:i w:val="false"/>
          <w:iCs w:val="false"/>
          <w:color w:val="000000" w:themeColor="dark1"/>
          <w:sz w:val="24"/>
          <w:szCs w:val="24"/>
        </w:rPr>
        <w:t>Itália investiga denúncias de que turistas pagaram para atirar em civis na guerra da Bósnia.</w:t>
      </w:r>
      <w:r>
        <w:rPr>
          <w:rFonts w:eastAsia="Times New Roman" w:cs="Times New Roman"/>
          <w:b w:val="false"/>
          <w:bCs w:val="false"/>
          <w:i w:val="false"/>
          <w:iCs w:val="false"/>
          <w:color w:val="000000" w:themeColor="dark1"/>
          <w:sz w:val="24"/>
          <w:szCs w:val="24"/>
        </w:rPr>
        <w:t xml:space="preserve"> BBC, 2025. Disponível em: bbc.com/portuguese/articles/cj97g9prdw7o Acesso em: 3 de Abril de 2026</w:t>
      </w:r>
    </w:p>
    <w:p>
      <w:pPr>
        <w:pStyle w:val="Bibliografia1"/>
        <w:rPr/>
      </w:pPr>
      <w:r>
        <w:rPr>
          <w:rFonts w:eastAsia="Times New Roman" w:cs="Times New Roman"/>
          <w:b w:val="false"/>
          <w:bCs w:val="false"/>
          <w:i w:val="false"/>
          <w:iCs w:val="false"/>
          <w:color w:val="000000" w:themeColor="dark1"/>
          <w:sz w:val="24"/>
          <w:szCs w:val="24"/>
        </w:rPr>
        <w:t xml:space="preserve">SAYILGAN, Ö. Dijital oyunlarda savaş anlatısı ve muhalif bir öznellik biçimi olarak “kurbanı oynamak”: This War of Mine. </w:t>
      </w:r>
      <w:r>
        <w:rPr>
          <w:rFonts w:eastAsia="Times New Roman" w:cs="Times New Roman"/>
          <w:b/>
          <w:bCs/>
          <w:i w:val="false"/>
          <w:iCs w:val="false"/>
          <w:color w:val="000000" w:themeColor="dark1"/>
          <w:sz w:val="24"/>
          <w:szCs w:val="24"/>
        </w:rPr>
        <w:t>Moment Dergi</w:t>
      </w:r>
      <w:r>
        <w:rPr>
          <w:rFonts w:eastAsia="Times New Roman" w:cs="Times New Roman"/>
          <w:b w:val="false"/>
          <w:bCs w:val="false"/>
          <w:i w:val="false"/>
          <w:iCs w:val="false"/>
          <w:color w:val="000000" w:themeColor="dark1"/>
          <w:sz w:val="24"/>
          <w:szCs w:val="24"/>
        </w:rPr>
        <w:t>, v. 4, n. 2, p. 374–395, 2017. DOI: 10.17572/moment.411850.</w:t>
      </w:r>
    </w:p>
    <w:p>
      <w:pPr>
        <w:pStyle w:val="Bibliografia1"/>
        <w:rPr/>
      </w:pPr>
      <w:r>
        <w:rPr>
          <w:rFonts w:eastAsia="Times New Roman" w:cs="Times New Roman"/>
          <w:b w:val="false"/>
          <w:bCs w:val="false"/>
          <w:i w:val="false"/>
          <w:iCs w:val="false"/>
          <w:color w:val="000000" w:themeColor="dark1"/>
          <w:sz w:val="24"/>
          <w:szCs w:val="24"/>
        </w:rPr>
        <w:t xml:space="preserve">SILBER, Laura; LITTLE, Allan. </w:t>
      </w:r>
      <w:r>
        <w:rPr>
          <w:rFonts w:eastAsia="Times New Roman" w:cs="Times New Roman"/>
          <w:b/>
          <w:bCs/>
          <w:i w:val="false"/>
          <w:iCs w:val="false"/>
          <w:color w:val="000000" w:themeColor="dark1"/>
          <w:sz w:val="24"/>
          <w:szCs w:val="24"/>
        </w:rPr>
        <w:t xml:space="preserve">Yugoslavia: Death of a Nation. </w:t>
      </w:r>
      <w:r>
        <w:rPr>
          <w:rFonts w:eastAsia="Times New Roman" w:cs="Times New Roman"/>
          <w:b w:val="false"/>
          <w:bCs w:val="false"/>
          <w:i w:val="false"/>
          <w:iCs w:val="false"/>
          <w:color w:val="000000" w:themeColor="dark1"/>
          <w:sz w:val="24"/>
          <w:szCs w:val="24"/>
        </w:rPr>
        <w:t>New York: TV Books, 1996.</w:t>
      </w:r>
    </w:p>
    <w:p>
      <w:pPr>
        <w:pStyle w:val="Bibliografia1"/>
        <w:rPr/>
      </w:pPr>
      <w:r>
        <w:rPr>
          <w:rFonts w:eastAsia="Times New Roman" w:cs="Times New Roman"/>
          <w:b w:val="false"/>
          <w:bCs w:val="false"/>
          <w:i w:val="false"/>
          <w:iCs w:val="false"/>
          <w:color w:val="000000" w:themeColor="dark1"/>
          <w:sz w:val="24"/>
          <w:szCs w:val="24"/>
        </w:rPr>
        <w:t xml:space="preserve">STERCZEWSKI, P. This uprising of mine: game conventions, cultural memory and civilian experience of war in Polish games. </w:t>
      </w:r>
      <w:r>
        <w:rPr>
          <w:rFonts w:eastAsia="Times New Roman" w:cs="Times New Roman"/>
          <w:b/>
          <w:bCs/>
          <w:i w:val="false"/>
          <w:iCs w:val="false"/>
          <w:color w:val="000000" w:themeColor="dark1"/>
          <w:sz w:val="24"/>
          <w:szCs w:val="24"/>
        </w:rPr>
        <w:t>Game Studies</w:t>
      </w:r>
      <w:r>
        <w:rPr>
          <w:rFonts w:eastAsia="Times New Roman" w:cs="Times New Roman"/>
          <w:b w:val="false"/>
          <w:bCs w:val="false"/>
          <w:i w:val="false"/>
          <w:iCs w:val="false"/>
          <w:color w:val="000000" w:themeColor="dark1"/>
          <w:sz w:val="24"/>
          <w:szCs w:val="24"/>
        </w:rPr>
        <w:t>, v. 16, n. 2, 2016.</w:t>
      </w:r>
    </w:p>
    <w:p>
      <w:pPr>
        <w:pStyle w:val="Bibliografia1"/>
        <w:rPr/>
      </w:pPr>
      <w:r>
        <w:rPr>
          <w:rFonts w:eastAsia="Times New Roman" w:cs="Times New Roman"/>
          <w:b w:val="false"/>
          <w:bCs w:val="false"/>
          <w:i w:val="false"/>
          <w:iCs w:val="false"/>
          <w:color w:val="000000" w:themeColor="dark1"/>
          <w:sz w:val="24"/>
          <w:szCs w:val="24"/>
        </w:rPr>
        <w:t xml:space="preserve">TILLES, Daniel. </w:t>
      </w:r>
      <w:r>
        <w:rPr>
          <w:rFonts w:eastAsia="Times New Roman" w:cs="Times New Roman"/>
          <w:b/>
          <w:bCs/>
          <w:i w:val="false"/>
          <w:iCs w:val="false"/>
          <w:color w:val="000000" w:themeColor="dark1"/>
          <w:sz w:val="24"/>
          <w:szCs w:val="24"/>
        </w:rPr>
        <w:t>Poland puts computer game “This War of Mine” on school reading list.</w:t>
      </w:r>
      <w:r>
        <w:rPr>
          <w:rFonts w:eastAsia="Times New Roman" w:cs="Times New Roman"/>
          <w:b w:val="false"/>
          <w:bCs w:val="false"/>
          <w:i w:val="false"/>
          <w:iCs w:val="false"/>
          <w:color w:val="000000" w:themeColor="dark1"/>
          <w:sz w:val="24"/>
          <w:szCs w:val="24"/>
        </w:rPr>
        <w:t xml:space="preserve"> Note From Poland, 2020. Disponível em: </w:t>
      </w:r>
      <w:hyperlink r:id="rId11">
        <w:r>
          <w:rPr>
            <w:rStyle w:val="LinkdaInternet"/>
            <w:rFonts w:eastAsia="Times New Roman" w:cs="Times New Roman"/>
            <w:b w:val="false"/>
            <w:bCs w:val="false"/>
            <w:i w:val="false"/>
            <w:iCs w:val="false"/>
            <w:color w:val="000000" w:themeColor="dark1"/>
            <w:sz w:val="24"/>
            <w:szCs w:val="24"/>
          </w:rPr>
          <w:t>https://notesfrompoland.com/2020/06/18/poland-puts-computer-game-this-war-of-mine-on-school-reading-list/</w:t>
        </w:r>
      </w:hyperlink>
      <w:r>
        <w:rPr>
          <w:rFonts w:eastAsia="Times New Roman" w:cs="Times New Roman"/>
          <w:b w:val="false"/>
          <w:bCs w:val="false"/>
          <w:i w:val="false"/>
          <w:iCs w:val="false"/>
          <w:color w:val="000000" w:themeColor="dark1"/>
          <w:sz w:val="24"/>
          <w:szCs w:val="24"/>
        </w:rPr>
        <w:t xml:space="preserve"> Acesso em: 4 de Abril de 2026</w:t>
      </w:r>
    </w:p>
    <w:p>
      <w:pPr>
        <w:pStyle w:val="Bibliografia1"/>
        <w:rPr/>
      </w:pPr>
      <w:r>
        <w:rPr/>
        <w:t xml:space="preserve">TRIBUNAL PENAL INTERNACIONAL PARA A EX-IUGOSLÁVIA (TPII). </w:t>
      </w:r>
      <w:r>
        <w:rPr>
          <w:b/>
          <w:bCs/>
        </w:rPr>
        <w:t>Prosecutor v. Stanislav Galić</w:t>
      </w:r>
      <w:r>
        <w:rPr/>
        <w:t>. Case No. IT-98-29-A. Judgement, 30 nov. 2006.</w:t>
      </w:r>
    </w:p>
    <w:p>
      <w:pPr>
        <w:pStyle w:val="Bibliografia1"/>
        <w:rPr/>
      </w:pPr>
      <w:r>
        <w:rPr>
          <w:rFonts w:eastAsia="Times New Roman" w:cs="Times New Roman"/>
          <w:b w:val="false"/>
          <w:bCs w:val="false"/>
          <w:i w:val="false"/>
          <w:iCs w:val="false"/>
          <w:color w:val="000000" w:themeColor="dark1"/>
          <w:sz w:val="24"/>
          <w:szCs w:val="24"/>
        </w:rPr>
        <w:t xml:space="preserve">ZEDONG, Mao. </w:t>
      </w:r>
      <w:r>
        <w:rPr>
          <w:rFonts w:eastAsia="Times New Roman" w:cs="Times New Roman"/>
          <w:b/>
          <w:bCs/>
          <w:i w:val="false"/>
          <w:iCs w:val="false"/>
          <w:color w:val="000000" w:themeColor="dark1"/>
          <w:sz w:val="24"/>
          <w:szCs w:val="24"/>
        </w:rPr>
        <w:t>Sobre a guerra prolongada.</w:t>
      </w:r>
      <w:r>
        <w:rPr>
          <w:rFonts w:eastAsia="Times New Roman" w:cs="Times New Roman"/>
          <w:b w:val="false"/>
          <w:bCs w:val="false"/>
          <w:i w:val="false"/>
          <w:iCs w:val="false"/>
          <w:color w:val="000000" w:themeColor="dark1"/>
          <w:sz w:val="24"/>
          <w:szCs w:val="24"/>
        </w:rPr>
        <w:t xml:space="preserve"> Obras Escolhidas, Tomo II. Maio de 1938.</w:t>
      </w:r>
    </w:p>
    <w:p>
      <w:pPr>
        <w:pStyle w:val="Bibliografia1"/>
        <w:rPr>
          <w:rFonts w:ascii="Times New Roman" w:hAnsi="Times New Roman" w:eastAsia="Times New Roman" w:cs="Times New Roman"/>
          <w:b w:val="false"/>
          <w:bCs w:val="false"/>
          <w:i w:val="false"/>
          <w:i w:val="false"/>
          <w:iCs w:val="false"/>
          <w:color w:val="000000" w:themeColor="dark1"/>
          <w:sz w:val="24"/>
          <w:szCs w:val="24"/>
        </w:rPr>
      </w:pPr>
      <w:r>
        <w:rPr>
          <w:rFonts w:eastAsia="Times New Roman" w:cs="Times New Roman"/>
          <w:b w:val="false"/>
          <w:bCs w:val="false"/>
          <w:i w:val="false"/>
          <w:iCs w:val="false"/>
          <w:color w:val="000000" w:themeColor="dark1"/>
          <w:sz w:val="24"/>
          <w:szCs w:val="24"/>
        </w:rPr>
      </w:r>
    </w:p>
    <w:tbl>
      <w:tblPr>
        <w:tblW w:w="9080" w:type="dxa"/>
        <w:jc w:val="left"/>
        <w:tblInd w:w="55" w:type="dxa"/>
        <w:tblLayout w:type="fixed"/>
        <w:tblCellMar>
          <w:top w:w="55" w:type="dxa"/>
          <w:left w:w="55" w:type="dxa"/>
          <w:bottom w:w="55" w:type="dxa"/>
          <w:right w:w="55" w:type="dxa"/>
        </w:tblCellMar>
        <w:tblLook w:firstRow="1" w:noVBand="0" w:lastRow="0" w:firstColumn="1" w:lastColumn="0" w:noHBand="0" w:val="00a0"/>
      </w:tblPr>
      <w:tblGrid>
        <w:gridCol w:w="6800"/>
        <w:gridCol w:w="2279"/>
      </w:tblGrid>
      <w:tr>
        <w:trPr/>
        <w:tc>
          <w:tcPr>
            <w:tcW w:w="9079" w:type="dxa"/>
            <w:gridSpan w:val="2"/>
            <w:tcBorders>
              <w:top w:val="single" w:sz="2" w:space="0" w:color="000000"/>
              <w:left w:val="single" w:sz="2" w:space="0" w:color="000000"/>
              <w:bottom w:val="single" w:sz="2" w:space="0" w:color="000000"/>
              <w:right w:val="single" w:sz="2" w:space="0" w:color="000000"/>
            </w:tcBorders>
          </w:tcPr>
          <w:p>
            <w:pPr>
              <w:pStyle w:val="Contedodatabela"/>
              <w:widowControl w:val="false"/>
              <w:tabs>
                <w:tab w:val="clear" w:pos="720"/>
                <w:tab w:val="center" w:pos="4485" w:leader="none"/>
                <w:tab w:val="right" w:pos="8970" w:leader="none"/>
              </w:tabs>
              <w:ind w:hanging="0"/>
              <w:jc w:val="center"/>
              <w:rPr/>
            </w:pPr>
            <w:r>
              <w:rPr>
                <w:b/>
                <w:bCs/>
                <w:sz w:val="24"/>
                <w:szCs w:val="24"/>
              </w:rPr>
              <w:t>CHECKLIST PARA PAPER COMPLETO</w:t>
            </w:r>
          </w:p>
        </w:tc>
      </w:tr>
      <w:tr>
        <w:trPr/>
        <w:tc>
          <w:tcPr>
            <w:tcW w:w="6800" w:type="dxa"/>
            <w:tcBorders>
              <w:left w:val="single" w:sz="2" w:space="0" w:color="000000"/>
              <w:bottom w:val="single" w:sz="2" w:space="0" w:color="000000"/>
            </w:tcBorders>
          </w:tcPr>
          <w:p>
            <w:pPr>
              <w:pStyle w:val="Contedodatabela"/>
              <w:widowControl w:val="false"/>
              <w:tabs>
                <w:tab w:val="clear" w:pos="720"/>
                <w:tab w:val="center" w:pos="3345" w:leader="none"/>
                <w:tab w:val="right" w:pos="6691" w:leader="none"/>
              </w:tabs>
              <w:ind w:hanging="0"/>
              <w:rPr/>
            </w:pPr>
            <w:r>
              <w:rPr>
                <w:b/>
                <w:bCs/>
                <w:sz w:val="24"/>
                <w:szCs w:val="24"/>
                <w:shd w:fill="auto" w:val="clear"/>
              </w:rPr>
              <w:tab/>
              <w:t>NORMAS</w:t>
            </w:r>
          </w:p>
        </w:tc>
        <w:tc>
          <w:tcPr>
            <w:tcW w:w="2279" w:type="dxa"/>
            <w:tcBorders>
              <w:left w:val="single" w:sz="2" w:space="0" w:color="000000"/>
              <w:bottom w:val="single" w:sz="2" w:space="0" w:color="000000"/>
              <w:right w:val="single" w:sz="2" w:space="0" w:color="000000"/>
            </w:tcBorders>
          </w:tcPr>
          <w:p>
            <w:pPr>
              <w:pStyle w:val="Contedodatabela"/>
              <w:widowControl w:val="false"/>
              <w:ind w:left="0" w:hanging="0"/>
              <w:jc w:val="center"/>
              <w:rPr/>
            </w:pPr>
            <w:r>
              <w:rPr>
                <w:b/>
                <w:bCs/>
                <w:sz w:val="24"/>
                <w:szCs w:val="24"/>
                <w:shd w:fill="auto" w:val="clear"/>
              </w:rPr>
              <w:t>ASSINALAR COM “</w:t>
            </w:r>
            <w:r>
              <w:rPr>
                <w:b/>
                <w:bCs/>
                <w:color w:val="000000"/>
                <w:sz w:val="24"/>
                <w:szCs w:val="24"/>
                <w:shd w:fill="auto" w:val="clear"/>
              </w:rPr>
              <w:t>✓</w:t>
            </w:r>
            <w:r>
              <w:rPr>
                <w:b/>
                <w:bCs/>
                <w:sz w:val="24"/>
                <w:szCs w:val="24"/>
                <w:shd w:fill="auto" w:val="clear"/>
              </w:rPr>
              <w:t>“ OU “OK”</w:t>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Logo do 14º SNS&amp;P na primeira página</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sz w:val="24"/>
                <w:szCs w:val="24"/>
              </w:rPr>
              <w:t>Texto entre 12 e 15 páginas (excluindo capa e referências)</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Formato de papel A4</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Margens superior e esquerda: 3 cm; inferior e direita: 2 cm</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Fonte Times New Roman, tamanho 12</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Recuo de 1,25 cm para a primeira linha de cada parágrafo</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Espaço entre linhas de 1,5</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hanging="0"/>
              <w:jc w:val="center"/>
              <w:rPr/>
            </w:pPr>
            <w:r>
              <w:rPr>
                <w:color w:val="0A0A0A"/>
                <w:sz w:val="24"/>
                <w:szCs w:val="24"/>
              </w:rPr>
              <w:t xml:space="preserve">Referências conforme normas o “Manual de Normalização de Documentos Científicos de acordo com as normas da ABNT” [UFPR]: </w:t>
            </w:r>
            <w:r>
              <w:rPr>
                <w:color w:val="000000"/>
                <w:sz w:val="24"/>
                <w:szCs w:val="24"/>
              </w:rPr>
              <w:t xml:space="preserve"> &lt;</w:t>
            </w:r>
            <w:hyperlink r:id="rId12">
              <w:r>
                <w:rPr>
                  <w:color w:val="000000"/>
                  <w:sz w:val="24"/>
                  <w:szCs w:val="24"/>
                  <w:u w:val="single"/>
                </w:rPr>
                <w:t>https://acervodigital.ufpr.br/handle/1884/73330</w:t>
              </w:r>
            </w:hyperlink>
            <w:r>
              <w:rPr>
                <w:color w:val="000000"/>
                <w:sz w:val="24"/>
                <w:szCs w:val="24"/>
              </w:rPr>
              <w:t>&gt;</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r>
        <w:trPr/>
        <w:tc>
          <w:tcPr>
            <w:tcW w:w="6800" w:type="dxa"/>
            <w:tcBorders>
              <w:left w:val="single" w:sz="2" w:space="0" w:color="000000"/>
              <w:bottom w:val="single" w:sz="2" w:space="0" w:color="000000"/>
            </w:tcBorders>
          </w:tcPr>
          <w:p>
            <w:pPr>
              <w:pStyle w:val="Corpodotexto"/>
              <w:widowControl w:val="false"/>
              <w:spacing w:lineRule="auto" w:line="240" w:before="0" w:after="0"/>
              <w:ind w:left="0" w:hanging="0"/>
              <w:jc w:val="center"/>
              <w:rPr>
                <w:color w:val="000000"/>
                <w:highlight w:val="none"/>
                <w:shd w:fill="auto" w:val="clear"/>
              </w:rPr>
            </w:pPr>
            <w:r>
              <w:rPr>
                <w:color w:val="000000"/>
                <w:shd w:fill="auto" w:val="clear"/>
              </w:rPr>
              <w:t>Conversão do arquivo em .pdf</w:t>
            </w:r>
          </w:p>
        </w:tc>
        <w:tc>
          <w:tcPr>
            <w:tcW w:w="2279" w:type="dxa"/>
            <w:tcBorders>
              <w:left w:val="single" w:sz="2" w:space="0" w:color="000000"/>
              <w:bottom w:val="single" w:sz="2" w:space="0" w:color="000000"/>
              <w:right w:val="single" w:sz="2" w:space="0" w:color="000000"/>
            </w:tcBorders>
            <w:shd w:color="auto" w:fill="FFFFFF" w:val="clear"/>
          </w:tcPr>
          <w:p>
            <w:pPr>
              <w:pStyle w:val="Contedodatabela"/>
              <w:widowControl w:val="false"/>
              <w:spacing w:lineRule="auto" w:line="240"/>
              <w:ind w:hanging="0"/>
              <w:jc w:val="center"/>
              <w:rPr>
                <w:rFonts w:ascii="Times New Roman" w:hAnsi="Times New Roman"/>
                <w:sz w:val="24"/>
                <w:szCs w:val="24"/>
                <w:highlight w:val="white"/>
              </w:rPr>
            </w:pPr>
            <w:r>
              <w:rPr>
                <w:sz w:val="24"/>
                <w:szCs w:val="24"/>
                <w:highlight w:val="white"/>
              </w:rPr>
            </w:r>
          </w:p>
        </w:tc>
      </w:tr>
    </w:tbl>
    <w:p>
      <w:pPr>
        <w:pStyle w:val="Normal"/>
        <w:spacing w:lineRule="auto" w:line="360" w:before="200" w:after="200"/>
        <w:jc w:val="both"/>
        <w:rPr>
          <w:rFonts w:ascii="Times New Roman" w:hAnsi="Times New Roman" w:cs="Times New Roman"/>
          <w:sz w:val="24"/>
          <w:szCs w:val="24"/>
        </w:rPr>
      </w:pPr>
      <w:r>
        <w:rPr/>
      </w:r>
    </w:p>
    <w:sectPr>
      <w:headerReference w:type="even" r:id="rId13"/>
      <w:headerReference w:type="default" r:id="rId14"/>
      <w:headerReference w:type="first" r:id="rId15"/>
      <w:footnotePr>
        <w:numFmt w:val="decimal"/>
      </w:footnotePr>
      <w:type w:val="nextPage"/>
      <w:pgSz w:w="11906" w:h="16838"/>
      <w:pgMar w:left="1701" w:right="1134" w:gutter="0" w:header="1701" w:top="2835" w:footer="0" w:bottom="1134"/>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taderodap"/>
        <w:rPr/>
      </w:pPr>
      <w:r>
        <w:rPr>
          <w:rStyle w:val="Caracteresdenotaderodap"/>
        </w:rPr>
        <w:footnoteRef/>
      </w:r>
      <w:r>
        <w:rPr/>
        <w:t xml:space="preserve"> </w:t>
      </w:r>
      <w:r>
        <w:rPr/>
        <w:t>Licenciatura em História pela Universidade Cidade de São Paulo(UNICID), Pós-Graduação Lato Sensu em Psicopedagogia pela Universidade Cruzeiro do Sul(2023). Pós-Graduação Lato Sensu em Ciências Humanas e Sociais Aplicadas e o Mundo do Trabalho na instituição de ensino UFPI - Universidade Federal do Piauí(2024). Pós-Graduação Lato Sensu em Direitos Humanos na instituição de ensino i9 Educação(2025). MBA em Direitos Humanos na instituição de ensino Faculdade IMES(2025), cesaraprile9@gmail.com</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
  </w:p>
</w:hdr>
</file>

<file path=word/settings.xml><?xml version="1.0" encoding="utf-8"?>
<w:settings xmlns:w="http://schemas.openxmlformats.org/wordprocessingml/2006/main">
  <w:zoom w:percent="100"/>
  <w:displayBackgroundShape/>
  <w:defaultTabStop w:val="720"/>
  <w:autoHyphenation w:val="true"/>
  <w:hyphenationZone w:val="425"/>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Cs w:val="22"/>
        <w:lang w:val="pt-BR" w:eastAsia="pt-B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360" w:before="0" w:after="0"/>
      <w:ind w:firstLine="709"/>
      <w:jc w:val="both"/>
    </w:pPr>
    <w:rPr>
      <w:rFonts w:ascii="Times New Roman" w:hAnsi="Times New Roman" w:eastAsia="Arial" w:cs="Arial"/>
      <w:color w:val="auto"/>
      <w:kern w:val="0"/>
      <w:sz w:val="24"/>
      <w:szCs w:val="22"/>
      <w:lang w:val="pt-BR" w:eastAsia="pt-BR" w:bidi="ar-SA"/>
    </w:rPr>
  </w:style>
  <w:style w:type="paragraph" w:styleId="Ttulo1">
    <w:name w:val="Heading 1"/>
    <w:basedOn w:val="Normal"/>
    <w:next w:val="Normal"/>
    <w:uiPriority w:val="9"/>
    <w:qFormat/>
    <w:pPr>
      <w:keepNext w:val="true"/>
      <w:keepLines/>
      <w:spacing w:lineRule="auto" w:line="240" w:before="0" w:after="0"/>
      <w:ind w:hanging="0"/>
      <w:outlineLvl w:val="0"/>
    </w:pPr>
    <w:rPr>
      <w:rFonts w:ascii="Times New Roman" w:hAnsi="Times New Roman"/>
      <w:b/>
      <w:sz w:val="24"/>
      <w:szCs w:val="40"/>
    </w:rPr>
  </w:style>
  <w:style w:type="paragraph" w:styleId="Ttulo2">
    <w:name w:val="Heading 2"/>
    <w:basedOn w:val="Normal"/>
    <w:next w:val="Normal"/>
    <w:uiPriority w:val="9"/>
    <w:semiHidden/>
    <w:unhideWhenUsed/>
    <w:qFormat/>
    <w:pPr>
      <w:keepNext w:val="true"/>
      <w:keepLines/>
      <w:spacing w:before="360" w:after="120"/>
      <w:outlineLvl w:val="1"/>
    </w:pPr>
    <w:rPr>
      <w:sz w:val="32"/>
      <w:szCs w:val="32"/>
    </w:rPr>
  </w:style>
  <w:style w:type="paragraph" w:styleId="Ttulo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val="true"/>
      <w:keepLines/>
      <w:spacing w:before="240" w:after="80"/>
      <w:outlineLvl w:val="4"/>
    </w:pPr>
    <w:rPr>
      <w:color w:val="666666"/>
    </w:rPr>
  </w:style>
  <w:style w:type="paragraph" w:styleId="Ttulo6">
    <w:name w:val="Heading 6"/>
    <w:basedOn w:val="Normal"/>
    <w:next w:val="Normal"/>
    <w:uiPriority w:val="9"/>
    <w:semiHidden/>
    <w:unhideWhenUsed/>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CabealhoChar" w:customStyle="1">
    <w:name w:val="Cabeçalho Char"/>
    <w:basedOn w:val="DefaultParagraphFont"/>
    <w:uiPriority w:val="99"/>
    <w:qFormat/>
    <w:rsid w:val="00ef459b"/>
    <w:rPr/>
  </w:style>
  <w:style w:type="character" w:styleId="RodapChar" w:customStyle="1">
    <w:name w:val="Rodapé Char"/>
    <w:basedOn w:val="DefaultParagraphFont"/>
    <w:uiPriority w:val="99"/>
    <w:qFormat/>
    <w:rsid w:val="00ef459b"/>
    <w:rPr/>
  </w:style>
  <w:style w:type="character" w:styleId="Caracteresdenotaderodap">
    <w:name w:val="Caracteres de nota de rodapé"/>
    <w:qFormat/>
    <w:rPr>
      <w:vertAlign w:val="superscript"/>
    </w:rPr>
  </w:style>
  <w:style w:type="character" w:styleId="FootnoteCharacters">
    <w:name w:val="Footnote Characters"/>
    <w:qFormat/>
    <w:rPr>
      <w:vertAlign w:val="superscript"/>
    </w:rPr>
  </w:style>
  <w:style w:type="character" w:styleId="FootnoteCharacters1">
    <w:name w:val="Footnote Characters1"/>
    <w:qFormat/>
    <w:rPr>
      <w:vertAlign w:val="superscript"/>
    </w:rPr>
  </w:style>
  <w:style w:type="character" w:styleId="Ncoradanotaderodap">
    <w:name w:val="Footnote Reference"/>
    <w:rPr>
      <w:vertAlign w:val="superscript"/>
    </w:rPr>
  </w:style>
  <w:style w:type="character" w:styleId="Caracteresdenotadefim" w:customStyle="1">
    <w:name w:val="Caracteres de nota de fim"/>
    <w:qFormat/>
    <w:rPr>
      <w:vertAlign w:val="superscript"/>
    </w:rPr>
  </w:style>
  <w:style w:type="character" w:styleId="EndnoteCharacters">
    <w:name w:val="Endnote Characters"/>
    <w:qFormat/>
    <w:rPr>
      <w:vertAlign w:val="superscript"/>
    </w:rPr>
  </w:style>
  <w:style w:type="character" w:styleId="EndnoteCharacters1">
    <w:name w:val="Endnote Characters1"/>
    <w:qFormat/>
    <w:rPr>
      <w:vertAlign w:val="superscript"/>
    </w:rPr>
  </w:style>
  <w:style w:type="character" w:styleId="Ncoradanotadefim">
    <w:name w:val="Endnote Reference"/>
    <w:rPr>
      <w:vertAlign w:val="superscript"/>
    </w:rPr>
  </w:style>
  <w:style w:type="character" w:styleId="LinkdaInternet" w:customStyle="1">
    <w:name w:val="Hyperlink"/>
    <w:qFormat/>
    <w:rPr>
      <w:color w:val="000080"/>
      <w:u w:val="single"/>
    </w:rPr>
  </w:style>
  <w:style w:type="character" w:styleId="Linkdainternetvisitado">
    <w:name w:val="FollowedHyperlink"/>
    <w:rPr>
      <w:color w:val="800000"/>
      <w:u w:val="single"/>
    </w:rPr>
  </w:style>
  <w:style w:type="character" w:styleId="Nfase">
    <w:name w:val="Emphasis"/>
    <w:qFormat/>
    <w:rPr>
      <w:i/>
      <w:iCs/>
    </w:rPr>
  </w:style>
  <w:style w:type="character" w:styleId="Nfaseforte">
    <w:name w:val="Strong"/>
    <w:qFormat/>
    <w:rPr>
      <w:b/>
      <w:bCs/>
    </w:rPr>
  </w:style>
  <w:style w:type="paragraph" w:styleId="Ttulo">
    <w:name w:val="Título"/>
    <w:basedOn w:val="Normal"/>
    <w:next w:val="Corpodotexto"/>
    <w:qFormat/>
    <w:pPr>
      <w:keepNext w:val="true"/>
      <w:spacing w:before="240" w:after="120"/>
    </w:pPr>
    <w:rPr>
      <w:rFonts w:ascii="Liberation Sans" w:hAnsi="Liberation Sans" w:eastAsia="Microsoft YaHei" w:cs="Arial"/>
      <w:sz w:val="28"/>
      <w:szCs w:val="28"/>
    </w:rPr>
  </w:style>
  <w:style w:type="paragraph" w:styleId="Corpodotexto">
    <w:name w:val="Body Text"/>
    <w:basedOn w:val="Normal"/>
    <w:pPr>
      <w:spacing w:before="0" w:after="140"/>
    </w:pPr>
    <w:rPr/>
  </w:style>
  <w:style w:type="paragraph" w:styleId="Lista">
    <w:name w:val="List"/>
    <w:basedOn w:val="Corpodotexto"/>
    <w:pPr/>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rFonts w:cs="Lucida Sans"/>
    </w:rPr>
  </w:style>
  <w:style w:type="paragraph" w:styleId="Ttulododocumento">
    <w:name w:val="Title"/>
    <w:basedOn w:val="Normal"/>
    <w:next w:val="Corpodotexto"/>
    <w:uiPriority w:val="10"/>
    <w:qFormat/>
    <w:pPr>
      <w:keepNext w:val="true"/>
      <w:keepLines/>
      <w:spacing w:lineRule="auto" w:line="240" w:before="0" w:after="0"/>
      <w:jc w:val="center"/>
    </w:pPr>
    <w:rPr>
      <w:rFonts w:ascii="Times New Roman" w:hAnsi="Times New Roman"/>
      <w:b/>
      <w:sz w:val="24"/>
      <w:szCs w:val="52"/>
    </w:rPr>
  </w:style>
  <w:style w:type="paragraph" w:styleId="Subttulo">
    <w:name w:val="Subtitle"/>
    <w:basedOn w:val="Normal"/>
    <w:next w:val="Normal"/>
    <w:uiPriority w:val="11"/>
    <w:qFormat/>
    <w:pPr>
      <w:keepNext w:val="true"/>
      <w:keepLines/>
      <w:spacing w:before="0" w:after="320"/>
    </w:pPr>
    <w:rPr>
      <w:color w:val="666666"/>
      <w:sz w:val="30"/>
      <w:szCs w:val="30"/>
    </w:rPr>
  </w:style>
  <w:style w:type="paragraph" w:styleId="CabealhoeRodap">
    <w:name w:val="Cabeçalho e Rodapé"/>
    <w:basedOn w:val="Normal"/>
    <w:qFormat/>
    <w:pPr/>
    <w:rPr/>
  </w:style>
  <w:style w:type="paragraph" w:styleId="Cabealhoerodap1">
    <w:name w:val="Cabeçalho e rodapé1"/>
    <w:basedOn w:val="Normal"/>
    <w:qFormat/>
    <w:pPr/>
    <w:rPr/>
  </w:style>
  <w:style w:type="paragraph" w:styleId="Cabealhoerodap2">
    <w:name w:val="Cabeçalho e rodapé2"/>
    <w:basedOn w:val="Normal"/>
    <w:qFormat/>
    <w:pPr/>
    <w:rPr/>
  </w:style>
  <w:style w:type="paragraph" w:styleId="Cabealhoerodap3">
    <w:name w:val="Cabeçalho e rodapé3"/>
    <w:basedOn w:val="Normal"/>
    <w:qFormat/>
    <w:pPr/>
    <w:rPr/>
  </w:style>
  <w:style w:type="paragraph" w:styleId="Cabealhoerodap4">
    <w:name w:val="Cabeçalho e rodapé4"/>
    <w:basedOn w:val="Normal"/>
    <w:qFormat/>
    <w:pPr/>
    <w:rPr/>
  </w:style>
  <w:style w:type="paragraph" w:styleId="Cabealhoerodap5">
    <w:name w:val="Cabeçalho e rodapé5"/>
    <w:basedOn w:val="Normal"/>
    <w:qFormat/>
    <w:pPr/>
    <w:rPr/>
  </w:style>
  <w:style w:type="paragraph" w:styleId="Cabealhoerodap6">
    <w:name w:val="Cabeçalho e rodapé6"/>
    <w:basedOn w:val="Normal"/>
    <w:qFormat/>
    <w:pPr/>
    <w:rPr/>
  </w:style>
  <w:style w:type="paragraph" w:styleId="Cabealhoerodap7">
    <w:name w:val="Cabeçalho e rodapé7"/>
    <w:basedOn w:val="Normal"/>
    <w:qFormat/>
    <w:pPr/>
    <w:rPr/>
  </w:style>
  <w:style w:type="paragraph" w:styleId="Cabealho">
    <w:name w:val="Header"/>
    <w:basedOn w:val="Normal"/>
    <w:link w:val="CabealhoChar"/>
    <w:uiPriority w:val="99"/>
    <w:unhideWhenUsed/>
    <w:rsid w:val="00ef459b"/>
    <w:pPr>
      <w:tabs>
        <w:tab w:val="clear" w:pos="720"/>
        <w:tab w:val="center" w:pos="4252" w:leader="none"/>
        <w:tab w:val="right" w:pos="8504" w:leader="none"/>
      </w:tabs>
      <w:spacing w:lineRule="auto" w:line="240"/>
    </w:pPr>
    <w:rPr/>
  </w:style>
  <w:style w:type="paragraph" w:styleId="Rodap">
    <w:name w:val="Footer"/>
    <w:basedOn w:val="Normal"/>
    <w:link w:val="RodapChar"/>
    <w:uiPriority w:val="99"/>
    <w:unhideWhenUsed/>
    <w:rsid w:val="00ef459b"/>
    <w:pPr>
      <w:tabs>
        <w:tab w:val="clear" w:pos="720"/>
        <w:tab w:val="center" w:pos="4252" w:leader="none"/>
        <w:tab w:val="right" w:pos="8504" w:leader="none"/>
      </w:tabs>
      <w:spacing w:lineRule="auto" w:line="240"/>
    </w:pPr>
    <w:rPr/>
  </w:style>
  <w:style w:type="paragraph" w:styleId="Notaderodap">
    <w:name w:val="Footnote Text"/>
    <w:basedOn w:val="Normal"/>
    <w:pPr>
      <w:spacing w:lineRule="auto" w:line="240"/>
      <w:ind w:hanging="0"/>
    </w:pPr>
    <w:rPr>
      <w:sz w:val="20"/>
    </w:rPr>
  </w:style>
  <w:style w:type="paragraph" w:styleId="Contedodatabela" w:customStyle="1">
    <w:name w:val="Conteúdo da tabela"/>
    <w:basedOn w:val="Normal"/>
    <w:qFormat/>
    <w:pPr>
      <w:suppressLineNumbers/>
    </w:pPr>
    <w:rPr/>
  </w:style>
  <w:style w:type="paragraph" w:styleId="Contedodoquadro">
    <w:name w:val="Conteúdo do quadro"/>
    <w:basedOn w:val="Normal"/>
    <w:qFormat/>
    <w:pPr/>
    <w:rPr/>
  </w:style>
  <w:style w:type="paragraph" w:styleId="Bibliografia1">
    <w:name w:val="Bibliografia 1"/>
    <w:basedOn w:val="Ndice"/>
    <w:qFormat/>
    <w:pPr>
      <w:tabs>
        <w:tab w:val="clear" w:pos="720"/>
        <w:tab w:val="right" w:pos="9071" w:leader="dot"/>
      </w:tabs>
      <w:spacing w:lineRule="auto" w:line="240"/>
      <w:ind w:left="0" w:hanging="0"/>
    </w:pPr>
    <w:rPr>
      <w:rFonts w:ascii="Times New Roman" w:hAnsi="Times New Roman"/>
      <w:sz w:val="24"/>
    </w:rPr>
  </w:style>
  <w:style w:type="paragraph" w:styleId="Citaes">
    <w:name w:val="Citações"/>
    <w:basedOn w:val="Normal"/>
    <w:qFormat/>
    <w:pPr>
      <w:spacing w:before="0" w:after="283"/>
      <w:ind w:left="567" w:right="567" w:hanging="0"/>
    </w:pPr>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www.nytimes.com/1992/05/03/world/sarajevo-s-center-erupts-in-war-weakening-yugoslav-truce-effort.html" TargetMode="External"/><Relationship Id="rId4" Type="http://schemas.openxmlformats.org/officeDocument/2006/relationships/hyperlink" Target="https://www.b92.net/o/info/vesti/index?yyyy=2011&amp;mm=03&amp;dd=05&amp;nav_category=64&amp;nav_id=497006" TargetMode="External"/><Relationship Id="rId5" Type="http://schemas.openxmlformats.org/officeDocument/2006/relationships/hyperlink" Target="https://aventurasnahistoria.com.br/noticias/reportagem/os-1425-dias-de-sarajevo.phtml" TargetMode="External"/><Relationship Id="rId6" Type="http://schemas.openxmlformats.org/officeDocument/2006/relationships/hyperlink" Target="https://www.theguardian.com/world/2025/nov/11/milan-prosecutors-investigate-alleged-sniper-tourism-during-bosnian-war" TargetMode="External"/><Relationship Id="rId7" Type="http://schemas.openxmlformats.org/officeDocument/2006/relationships/hyperlink" Target="https://www.gamesindustry.biz/this-war-of-mine-will-be-added-to-polish-schools-reading-list" TargetMode="External"/><Relationship Id="rId8" Type="http://schemas.openxmlformats.org/officeDocument/2006/relationships/hyperlink" Target="https://www.helsinki.org.rs/tjgenocide_t01.html" TargetMode="External"/><Relationship Id="rId9" Type="http://schemas.openxmlformats.org/officeDocument/2006/relationships/hyperlink" Target="https://www.komputerswiat.pl/gaming/gry/robimy-gry-dla-graczy-wywiad-z-pawlem-miechowskim-z-11bit-studios/1mhmkl6" TargetMode="External"/><Relationship Id="rId10" Type="http://schemas.openxmlformats.org/officeDocument/2006/relationships/hyperlink" Target="https://www.pcgamer.com/survive-the-horrors-of-war-as-a-civilian-in-this-war-of-mine/" TargetMode="External"/><Relationship Id="rId11" Type="http://schemas.openxmlformats.org/officeDocument/2006/relationships/hyperlink" Target="https://notesfrompoland.com/2020/06/18/poland-puts-computer-game-this-war-of-mine-on-school-reading-list/" TargetMode="External"/><Relationship Id="rId12" Type="http://schemas.openxmlformats.org/officeDocument/2006/relationships/hyperlink" Target="https://acervodigital.ufpr.br/handle/1884/73330"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notes" Target="footnotes.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407</TotalTime>
  <Application>LibreOffice/7.5.2.2$Windows_X86_64 LibreOffice_project/53bb9681a964705cf672590721dbc85eb4d0c3a2</Application>
  <AppVersion>15.0000</AppVersion>
  <Pages>16</Pages>
  <Words>5413</Words>
  <Characters>31516</Characters>
  <CharactersWithSpaces>36813</CharactersWithSpaces>
  <Paragraphs>123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2023-11-13T13:50:00Z</dcterms:created>
  <dc:creator>-</dc:creator>
  <dc:description/>
  <dc:language>pt-BR</dc:language>
  <cp:lastModifiedBy/>
  <dcterms:modified xsi:type="dcterms:W3CDTF">2026-04-04T16:32:10Z</dcterms:modified>
  <cp:revision>59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