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3D86A" w14:textId="22C451B2" w:rsidR="00150DCF" w:rsidRPr="00E93759" w:rsidRDefault="00DB605D" w:rsidP="00C644A6">
      <w:pPr>
        <w:spacing w:line="360" w:lineRule="auto"/>
        <w:jc w:val="center"/>
        <w:rPr>
          <w:rFonts w:ascii="Times New Roman" w:hAnsi="Times New Roman" w:cs="Times New Roman"/>
          <w:b/>
          <w:bCs/>
        </w:rPr>
      </w:pPr>
      <w:r w:rsidRPr="00E93759">
        <w:rPr>
          <w:rFonts w:ascii="Times New Roman" w:hAnsi="Times New Roman" w:cs="Times New Roman"/>
          <w:b/>
          <w:bCs/>
        </w:rPr>
        <w:t>14º SEMINÁRIO NACIONAL DE SOCIOLOGIA E POLÍTICA</w:t>
      </w:r>
    </w:p>
    <w:p w14:paraId="7766F2C1" w14:textId="77777777" w:rsidR="00787B6A" w:rsidRPr="00E93759" w:rsidRDefault="00787B6A" w:rsidP="00C644A6">
      <w:pPr>
        <w:spacing w:line="360" w:lineRule="auto"/>
        <w:jc w:val="center"/>
        <w:rPr>
          <w:rFonts w:ascii="Times New Roman" w:hAnsi="Times New Roman" w:cs="Times New Roman"/>
          <w:b/>
          <w:bCs/>
        </w:rPr>
      </w:pPr>
    </w:p>
    <w:p w14:paraId="7E86ADDD" w14:textId="77777777" w:rsidR="00787B6A" w:rsidRPr="00E93759" w:rsidRDefault="00787B6A" w:rsidP="00C644A6">
      <w:pPr>
        <w:spacing w:line="360" w:lineRule="auto"/>
        <w:jc w:val="center"/>
        <w:rPr>
          <w:rFonts w:ascii="Times New Roman" w:hAnsi="Times New Roman" w:cs="Times New Roman"/>
          <w:b/>
          <w:bCs/>
        </w:rPr>
      </w:pPr>
    </w:p>
    <w:p w14:paraId="1F3CDB67" w14:textId="1278E0D4" w:rsidR="00150DCF" w:rsidRPr="00E93759" w:rsidRDefault="00836626" w:rsidP="00787B6A">
      <w:pPr>
        <w:spacing w:line="360" w:lineRule="auto"/>
        <w:jc w:val="center"/>
        <w:rPr>
          <w:rFonts w:ascii="Times New Roman" w:hAnsi="Times New Roman" w:cs="Times New Roman"/>
        </w:rPr>
      </w:pPr>
      <w:r w:rsidRPr="00E93759">
        <w:rPr>
          <w:rFonts w:ascii="Times New Roman" w:hAnsi="Times New Roman" w:cs="Times New Roman"/>
        </w:rPr>
        <w:t xml:space="preserve">VINÍCIUS FELIPE GOMES </w:t>
      </w:r>
    </w:p>
    <w:p w14:paraId="764A5E4F" w14:textId="77777777" w:rsidR="00836626" w:rsidRPr="00E93759" w:rsidRDefault="00836626" w:rsidP="00C644A6">
      <w:pPr>
        <w:spacing w:line="360" w:lineRule="auto"/>
        <w:jc w:val="center"/>
        <w:rPr>
          <w:rFonts w:ascii="Times New Roman" w:hAnsi="Times New Roman" w:cs="Times New Roman"/>
          <w:b/>
          <w:bCs/>
        </w:rPr>
      </w:pPr>
    </w:p>
    <w:p w14:paraId="09E03CFB" w14:textId="77777777" w:rsidR="00836626" w:rsidRPr="00E93759" w:rsidRDefault="00836626" w:rsidP="00C644A6">
      <w:pPr>
        <w:spacing w:line="360" w:lineRule="auto"/>
        <w:jc w:val="center"/>
        <w:rPr>
          <w:rFonts w:ascii="Times New Roman" w:hAnsi="Times New Roman" w:cs="Times New Roman"/>
          <w:b/>
          <w:bCs/>
        </w:rPr>
      </w:pPr>
    </w:p>
    <w:p w14:paraId="056BF3C9" w14:textId="77777777" w:rsidR="00836626" w:rsidRPr="00E93759" w:rsidRDefault="00836626" w:rsidP="00C644A6">
      <w:pPr>
        <w:spacing w:line="360" w:lineRule="auto"/>
        <w:jc w:val="center"/>
        <w:rPr>
          <w:rFonts w:ascii="Times New Roman" w:hAnsi="Times New Roman" w:cs="Times New Roman"/>
          <w:b/>
          <w:bCs/>
        </w:rPr>
      </w:pPr>
    </w:p>
    <w:p w14:paraId="176D1E84" w14:textId="77777777" w:rsidR="00836626" w:rsidRPr="00E93759" w:rsidRDefault="00836626" w:rsidP="00C644A6">
      <w:pPr>
        <w:spacing w:line="360" w:lineRule="auto"/>
        <w:jc w:val="center"/>
        <w:rPr>
          <w:rFonts w:ascii="Times New Roman" w:hAnsi="Times New Roman" w:cs="Times New Roman"/>
          <w:b/>
          <w:bCs/>
        </w:rPr>
      </w:pPr>
    </w:p>
    <w:p w14:paraId="20996CA2" w14:textId="77777777" w:rsidR="00836626" w:rsidRPr="00E93759" w:rsidRDefault="00836626" w:rsidP="00C644A6">
      <w:pPr>
        <w:spacing w:line="360" w:lineRule="auto"/>
        <w:jc w:val="center"/>
        <w:rPr>
          <w:rFonts w:ascii="Times New Roman" w:hAnsi="Times New Roman" w:cs="Times New Roman"/>
          <w:b/>
          <w:bCs/>
        </w:rPr>
      </w:pPr>
    </w:p>
    <w:p w14:paraId="33D0D879" w14:textId="3BC724F0" w:rsidR="00674407" w:rsidRPr="00E93759" w:rsidRDefault="00DB605D" w:rsidP="00C644A6">
      <w:pPr>
        <w:spacing w:line="360" w:lineRule="auto"/>
        <w:jc w:val="center"/>
        <w:rPr>
          <w:rFonts w:ascii="Times New Roman" w:hAnsi="Times New Roman" w:cs="Times New Roman"/>
          <w:b/>
          <w:bCs/>
        </w:rPr>
      </w:pPr>
      <w:r w:rsidRPr="00E93759">
        <w:rPr>
          <w:rFonts w:ascii="Times New Roman" w:hAnsi="Times New Roman" w:cs="Times New Roman"/>
          <w:b/>
          <w:bCs/>
        </w:rPr>
        <w:t xml:space="preserve">Polarização discursiva e moderação programática nas eleições presidenciais brasileiras (2018–2022). </w:t>
      </w:r>
    </w:p>
    <w:p w14:paraId="126E49D3" w14:textId="77777777" w:rsidR="00674407" w:rsidRPr="00E93759" w:rsidRDefault="00674407" w:rsidP="00C644A6">
      <w:pPr>
        <w:spacing w:line="360" w:lineRule="auto"/>
        <w:jc w:val="center"/>
        <w:rPr>
          <w:rFonts w:ascii="Times New Roman" w:hAnsi="Times New Roman" w:cs="Times New Roman"/>
          <w:b/>
          <w:bCs/>
        </w:rPr>
      </w:pPr>
    </w:p>
    <w:p w14:paraId="4624391C" w14:textId="77777777" w:rsidR="00674407" w:rsidRPr="00E93759" w:rsidRDefault="00674407" w:rsidP="00C644A6">
      <w:pPr>
        <w:spacing w:line="360" w:lineRule="auto"/>
        <w:jc w:val="center"/>
        <w:rPr>
          <w:rFonts w:ascii="Times New Roman" w:hAnsi="Times New Roman" w:cs="Times New Roman"/>
          <w:b/>
          <w:bCs/>
        </w:rPr>
      </w:pPr>
    </w:p>
    <w:p w14:paraId="68866DA9" w14:textId="77777777" w:rsidR="00674407" w:rsidRPr="00E93759" w:rsidRDefault="00674407" w:rsidP="00C644A6">
      <w:pPr>
        <w:spacing w:line="360" w:lineRule="auto"/>
        <w:jc w:val="center"/>
        <w:rPr>
          <w:rFonts w:ascii="Times New Roman" w:hAnsi="Times New Roman" w:cs="Times New Roman"/>
          <w:b/>
          <w:bCs/>
        </w:rPr>
      </w:pPr>
    </w:p>
    <w:p w14:paraId="70B9E52F" w14:textId="77777777" w:rsidR="000B6A5C" w:rsidRPr="00E93759" w:rsidRDefault="000B6A5C" w:rsidP="00C644A6">
      <w:pPr>
        <w:spacing w:line="360" w:lineRule="auto"/>
        <w:jc w:val="center"/>
        <w:rPr>
          <w:rFonts w:ascii="Times New Roman" w:hAnsi="Times New Roman" w:cs="Times New Roman"/>
          <w:b/>
          <w:bCs/>
        </w:rPr>
      </w:pPr>
    </w:p>
    <w:p w14:paraId="02FF2476" w14:textId="77777777" w:rsidR="000B6A5C" w:rsidRPr="00E93759" w:rsidRDefault="000B6A5C" w:rsidP="00C644A6">
      <w:pPr>
        <w:spacing w:line="360" w:lineRule="auto"/>
        <w:jc w:val="center"/>
        <w:rPr>
          <w:rFonts w:ascii="Times New Roman" w:hAnsi="Times New Roman" w:cs="Times New Roman"/>
          <w:b/>
          <w:bCs/>
        </w:rPr>
      </w:pPr>
    </w:p>
    <w:p w14:paraId="0C96B423" w14:textId="77777777" w:rsidR="000B6A5C" w:rsidRPr="00E93759" w:rsidRDefault="000B6A5C" w:rsidP="00C644A6">
      <w:pPr>
        <w:spacing w:line="360" w:lineRule="auto"/>
        <w:jc w:val="center"/>
        <w:rPr>
          <w:rFonts w:ascii="Times New Roman" w:hAnsi="Times New Roman" w:cs="Times New Roman"/>
          <w:b/>
          <w:bCs/>
        </w:rPr>
      </w:pPr>
    </w:p>
    <w:p w14:paraId="0BE4A5AA" w14:textId="77777777" w:rsidR="000B6A5C" w:rsidRPr="00E93759" w:rsidRDefault="000B6A5C" w:rsidP="00C644A6">
      <w:pPr>
        <w:spacing w:line="360" w:lineRule="auto"/>
        <w:jc w:val="center"/>
        <w:rPr>
          <w:rFonts w:ascii="Times New Roman" w:hAnsi="Times New Roman" w:cs="Times New Roman"/>
          <w:b/>
          <w:bCs/>
        </w:rPr>
      </w:pPr>
    </w:p>
    <w:p w14:paraId="64C19565" w14:textId="77777777" w:rsidR="000B6A5C" w:rsidRPr="00E93759" w:rsidRDefault="000B6A5C" w:rsidP="00C644A6">
      <w:pPr>
        <w:spacing w:line="360" w:lineRule="auto"/>
        <w:jc w:val="center"/>
        <w:rPr>
          <w:rFonts w:ascii="Times New Roman" w:hAnsi="Times New Roman" w:cs="Times New Roman"/>
          <w:b/>
          <w:bCs/>
        </w:rPr>
      </w:pPr>
    </w:p>
    <w:p w14:paraId="4FB2650F" w14:textId="77777777" w:rsidR="000B6A5C" w:rsidRPr="00E93759" w:rsidRDefault="000B6A5C" w:rsidP="00C644A6">
      <w:pPr>
        <w:spacing w:line="360" w:lineRule="auto"/>
        <w:jc w:val="center"/>
        <w:rPr>
          <w:rFonts w:ascii="Times New Roman" w:hAnsi="Times New Roman" w:cs="Times New Roman"/>
          <w:b/>
          <w:bCs/>
        </w:rPr>
      </w:pPr>
    </w:p>
    <w:p w14:paraId="4F28D359" w14:textId="77777777" w:rsidR="000B6A5C" w:rsidRPr="00E93759" w:rsidRDefault="000B6A5C" w:rsidP="00C644A6">
      <w:pPr>
        <w:spacing w:line="360" w:lineRule="auto"/>
        <w:jc w:val="center"/>
        <w:rPr>
          <w:rFonts w:ascii="Times New Roman" w:hAnsi="Times New Roman" w:cs="Times New Roman"/>
          <w:b/>
          <w:bCs/>
        </w:rPr>
      </w:pPr>
    </w:p>
    <w:p w14:paraId="5A3357BD" w14:textId="77777777" w:rsidR="00E93759" w:rsidRDefault="00E93759" w:rsidP="00C644A6">
      <w:pPr>
        <w:spacing w:line="360" w:lineRule="auto"/>
        <w:jc w:val="center"/>
        <w:rPr>
          <w:rFonts w:ascii="Times New Roman" w:hAnsi="Times New Roman" w:cs="Times New Roman"/>
          <w:b/>
          <w:bCs/>
        </w:rPr>
      </w:pPr>
    </w:p>
    <w:p w14:paraId="3D457551" w14:textId="7B5A81D2" w:rsidR="00674407" w:rsidRPr="00E93759" w:rsidRDefault="000B6A5C" w:rsidP="00C644A6">
      <w:pPr>
        <w:spacing w:line="360" w:lineRule="auto"/>
        <w:jc w:val="center"/>
        <w:rPr>
          <w:rFonts w:ascii="Times New Roman" w:hAnsi="Times New Roman" w:cs="Times New Roman"/>
          <w:b/>
          <w:bCs/>
        </w:rPr>
      </w:pPr>
      <w:r w:rsidRPr="00E93759">
        <w:rPr>
          <w:rFonts w:ascii="Times New Roman" w:hAnsi="Times New Roman" w:cs="Times New Roman"/>
          <w:b/>
          <w:bCs/>
        </w:rPr>
        <w:t>Curitiba</w:t>
      </w:r>
    </w:p>
    <w:p w14:paraId="61D7BFF5" w14:textId="43F4B055" w:rsidR="00674407" w:rsidRPr="00E93759" w:rsidRDefault="00674407" w:rsidP="00C644A6">
      <w:pPr>
        <w:spacing w:line="360" w:lineRule="auto"/>
        <w:jc w:val="center"/>
        <w:rPr>
          <w:rFonts w:ascii="Times New Roman" w:hAnsi="Times New Roman" w:cs="Times New Roman"/>
          <w:b/>
          <w:bCs/>
        </w:rPr>
      </w:pPr>
      <w:r w:rsidRPr="00E93759">
        <w:rPr>
          <w:rFonts w:ascii="Times New Roman" w:hAnsi="Times New Roman" w:cs="Times New Roman"/>
          <w:b/>
          <w:bCs/>
        </w:rPr>
        <w:t>2025</w:t>
      </w:r>
    </w:p>
    <w:p w14:paraId="625F061E" w14:textId="08B910A5" w:rsidR="00F84E30" w:rsidRPr="00E93759" w:rsidRDefault="00B943B8" w:rsidP="00E93759">
      <w:pPr>
        <w:spacing w:after="0" w:line="240" w:lineRule="auto"/>
        <w:jc w:val="both"/>
        <w:rPr>
          <w:rFonts w:ascii="Times New Roman" w:hAnsi="Times New Roman" w:cs="Times New Roman"/>
        </w:rPr>
      </w:pPr>
      <w:r w:rsidRPr="00E93759">
        <w:rPr>
          <w:rFonts w:ascii="Times New Roman" w:hAnsi="Times New Roman" w:cs="Times New Roman"/>
          <w:b/>
          <w:bCs/>
        </w:rPr>
        <w:lastRenderedPageBreak/>
        <w:t xml:space="preserve">Resumo: </w:t>
      </w:r>
      <w:r w:rsidR="00F84E30" w:rsidRPr="00E93759">
        <w:rPr>
          <w:rFonts w:ascii="Times New Roman" w:hAnsi="Times New Roman" w:cs="Times New Roman"/>
        </w:rPr>
        <w:t xml:space="preserve">O presente artigo analisa os Programas de Governo apresentados pelos candidatos ao segundo turno das eleições presidenciais brasileiras de 2018 e 2022, representativos dos campos ideológicos de esquerda e direita, com o objetivo de identificar suas tendências programáticas em contextos de elevada polarização política. A hipótese central sustenta que, apesar da intensa radicalização discursiva observada nas campanhas e no debate público, as propostas formalmente apresentadas pelos candidatos tendem a convergir para posições moderadas, próximas ao centro do espectro político, como estratégia para ampliar o apoio eleitoral entre segmentos heterogêneos do eleitorado nacional e viabilizar a governabilidade. </w:t>
      </w:r>
    </w:p>
    <w:p w14:paraId="643633CF" w14:textId="1251DC6A" w:rsidR="00F84E30" w:rsidRPr="00E93759" w:rsidRDefault="00F84E30" w:rsidP="00E93759">
      <w:pPr>
        <w:spacing w:after="0" w:line="240" w:lineRule="auto"/>
        <w:jc w:val="both"/>
        <w:rPr>
          <w:rFonts w:ascii="Times New Roman" w:hAnsi="Times New Roman" w:cs="Times New Roman"/>
        </w:rPr>
      </w:pPr>
      <w:r w:rsidRPr="00E93759">
        <w:rPr>
          <w:rFonts w:ascii="Times New Roman" w:hAnsi="Times New Roman" w:cs="Times New Roman"/>
        </w:rPr>
        <w:t xml:space="preserve">Metodologicamente, realiza-se análise documental comparativa dos Programas de Governo registrados no Tribunal Superior Eleitoral pelos candidatos que disputaram o segundo turno em ambos os pleitos, classificando as propostas segundo eixos centrais de política pública — economia, </w:t>
      </w:r>
      <w:r w:rsidR="00CB0001" w:rsidRPr="00E93759">
        <w:rPr>
          <w:rFonts w:ascii="Times New Roman" w:hAnsi="Times New Roman" w:cs="Times New Roman"/>
        </w:rPr>
        <w:t>educação e</w:t>
      </w:r>
      <w:r w:rsidRPr="00E93759">
        <w:rPr>
          <w:rFonts w:ascii="Times New Roman" w:hAnsi="Times New Roman" w:cs="Times New Roman"/>
        </w:rPr>
        <w:t xml:space="preserve"> segurança</w:t>
      </w:r>
      <w:r w:rsidR="00CB0001" w:rsidRPr="00E93759">
        <w:rPr>
          <w:rFonts w:ascii="Times New Roman" w:hAnsi="Times New Roman" w:cs="Times New Roman"/>
        </w:rPr>
        <w:t xml:space="preserve"> pública</w:t>
      </w:r>
      <w:r w:rsidRPr="00E93759">
        <w:rPr>
          <w:rFonts w:ascii="Times New Roman" w:hAnsi="Times New Roman" w:cs="Times New Roman"/>
        </w:rPr>
        <w:t xml:space="preserve"> — e um continuum ideológico baseado no grau de intervenção estatal, na orientação redistributiva e na extensão dos direitos propostos. Os resultados indicam predominância de posições moderadas em áreas estruturantes da ação governamental, coexistindo com estratégias discursivas polarizadas voltadas à mobilização eleitoral e à construção de identidades políticas antagônicas. A comparação entre 2018 e 2022 sugere a persistência desse padrão, ainda que com variações na saliência temática e nas prioridades programáticas associadas a diferentes conjunturas econômicas e institucionais.</w:t>
      </w:r>
    </w:p>
    <w:p w14:paraId="36414B7F" w14:textId="3FFC34E3" w:rsidR="00D42A32" w:rsidRPr="00E93759" w:rsidRDefault="00F84E30" w:rsidP="00E93759">
      <w:pPr>
        <w:spacing w:after="0" w:line="240" w:lineRule="auto"/>
        <w:jc w:val="both"/>
        <w:rPr>
          <w:rFonts w:ascii="Times New Roman" w:hAnsi="Times New Roman" w:cs="Times New Roman"/>
        </w:rPr>
      </w:pPr>
      <w:r w:rsidRPr="00E93759">
        <w:rPr>
          <w:rFonts w:ascii="Times New Roman" w:hAnsi="Times New Roman" w:cs="Times New Roman"/>
        </w:rPr>
        <w:t>Conclui-se que a competição presidencial brasileira recente combina radicalização retórica com moderação programática substantiva, indicando que a polarização observada no plano simbólico não se traduz integralmente em divergências nos compromissos formais apresentados ao eleitorado.</w:t>
      </w:r>
    </w:p>
    <w:p w14:paraId="26BC96C1" w14:textId="350A7D00" w:rsidR="00C644A6" w:rsidRPr="00E93759" w:rsidRDefault="00EF3B91" w:rsidP="00E93759">
      <w:pPr>
        <w:spacing w:after="0" w:line="240" w:lineRule="auto"/>
        <w:jc w:val="both"/>
        <w:rPr>
          <w:rFonts w:ascii="Times New Roman" w:hAnsi="Times New Roman" w:cs="Times New Roman"/>
          <w:b/>
          <w:bCs/>
        </w:rPr>
      </w:pPr>
      <w:r w:rsidRPr="00E93759">
        <w:rPr>
          <w:rFonts w:ascii="Times New Roman" w:hAnsi="Times New Roman" w:cs="Times New Roman"/>
          <w:b/>
          <w:bCs/>
        </w:rPr>
        <w:t xml:space="preserve">Palavras-chave: </w:t>
      </w:r>
      <w:r w:rsidRPr="00E93759">
        <w:rPr>
          <w:rFonts w:ascii="Times New Roman" w:hAnsi="Times New Roman" w:cs="Times New Roman"/>
        </w:rPr>
        <w:t>eleições municipais; programas de governo; ideologia política; moderação programática; saliência temática; eleitor mediano.</w:t>
      </w:r>
    </w:p>
    <w:p w14:paraId="3697B0EC" w14:textId="77777777" w:rsidR="00C644A6" w:rsidRPr="00E93759" w:rsidRDefault="00C644A6" w:rsidP="00C644A6">
      <w:pPr>
        <w:pStyle w:val="PargrafodaLista"/>
        <w:spacing w:after="0" w:line="360" w:lineRule="auto"/>
        <w:jc w:val="both"/>
        <w:rPr>
          <w:rFonts w:ascii="Times New Roman" w:hAnsi="Times New Roman" w:cs="Times New Roman"/>
          <w:b/>
          <w:bCs/>
        </w:rPr>
      </w:pPr>
    </w:p>
    <w:p w14:paraId="4EE2782D" w14:textId="77777777" w:rsidR="00C644A6" w:rsidRPr="00E93759" w:rsidRDefault="00C644A6" w:rsidP="00C644A6">
      <w:pPr>
        <w:pStyle w:val="PargrafodaLista"/>
        <w:spacing w:after="0" w:line="360" w:lineRule="auto"/>
        <w:jc w:val="both"/>
        <w:rPr>
          <w:rFonts w:ascii="Times New Roman" w:hAnsi="Times New Roman" w:cs="Times New Roman"/>
          <w:b/>
          <w:bCs/>
        </w:rPr>
      </w:pPr>
    </w:p>
    <w:p w14:paraId="04CB6BDF" w14:textId="77777777" w:rsidR="00C644A6" w:rsidRPr="00E93759" w:rsidRDefault="00C644A6" w:rsidP="00C644A6">
      <w:pPr>
        <w:pStyle w:val="PargrafodaLista"/>
        <w:spacing w:after="0" w:line="360" w:lineRule="auto"/>
        <w:jc w:val="both"/>
        <w:rPr>
          <w:rFonts w:ascii="Times New Roman" w:hAnsi="Times New Roman" w:cs="Times New Roman"/>
          <w:b/>
          <w:bCs/>
        </w:rPr>
      </w:pPr>
    </w:p>
    <w:p w14:paraId="19E237E5" w14:textId="77777777" w:rsidR="00C644A6" w:rsidRDefault="00C644A6" w:rsidP="00C644A6">
      <w:pPr>
        <w:pStyle w:val="PargrafodaLista"/>
        <w:spacing w:after="0" w:line="360" w:lineRule="auto"/>
        <w:jc w:val="both"/>
        <w:rPr>
          <w:rFonts w:ascii="Times New Roman" w:hAnsi="Times New Roman" w:cs="Times New Roman"/>
          <w:b/>
          <w:bCs/>
        </w:rPr>
      </w:pPr>
    </w:p>
    <w:p w14:paraId="6385C222" w14:textId="77777777" w:rsidR="00E93759" w:rsidRDefault="00E93759" w:rsidP="00C644A6">
      <w:pPr>
        <w:pStyle w:val="PargrafodaLista"/>
        <w:spacing w:after="0" w:line="360" w:lineRule="auto"/>
        <w:jc w:val="both"/>
        <w:rPr>
          <w:rFonts w:ascii="Times New Roman" w:hAnsi="Times New Roman" w:cs="Times New Roman"/>
          <w:b/>
          <w:bCs/>
        </w:rPr>
      </w:pPr>
    </w:p>
    <w:p w14:paraId="3F22EA2F" w14:textId="77777777" w:rsidR="00E93759" w:rsidRDefault="00E93759" w:rsidP="00C644A6">
      <w:pPr>
        <w:pStyle w:val="PargrafodaLista"/>
        <w:spacing w:after="0" w:line="360" w:lineRule="auto"/>
        <w:jc w:val="both"/>
        <w:rPr>
          <w:rFonts w:ascii="Times New Roman" w:hAnsi="Times New Roman" w:cs="Times New Roman"/>
          <w:b/>
          <w:bCs/>
        </w:rPr>
      </w:pPr>
    </w:p>
    <w:p w14:paraId="5647BB57" w14:textId="77777777" w:rsidR="00E93759" w:rsidRDefault="00E93759" w:rsidP="00C644A6">
      <w:pPr>
        <w:pStyle w:val="PargrafodaLista"/>
        <w:spacing w:after="0" w:line="360" w:lineRule="auto"/>
        <w:jc w:val="both"/>
        <w:rPr>
          <w:rFonts w:ascii="Times New Roman" w:hAnsi="Times New Roman" w:cs="Times New Roman"/>
          <w:b/>
          <w:bCs/>
        </w:rPr>
      </w:pPr>
    </w:p>
    <w:p w14:paraId="051C3FA1" w14:textId="77777777" w:rsidR="00E93759" w:rsidRDefault="00E93759" w:rsidP="00C644A6">
      <w:pPr>
        <w:pStyle w:val="PargrafodaLista"/>
        <w:spacing w:after="0" w:line="360" w:lineRule="auto"/>
        <w:jc w:val="both"/>
        <w:rPr>
          <w:rFonts w:ascii="Times New Roman" w:hAnsi="Times New Roman" w:cs="Times New Roman"/>
          <w:b/>
          <w:bCs/>
        </w:rPr>
      </w:pPr>
    </w:p>
    <w:p w14:paraId="5060B333" w14:textId="77777777" w:rsidR="00E93759" w:rsidRDefault="00E93759" w:rsidP="00C644A6">
      <w:pPr>
        <w:pStyle w:val="PargrafodaLista"/>
        <w:spacing w:after="0" w:line="360" w:lineRule="auto"/>
        <w:jc w:val="both"/>
        <w:rPr>
          <w:rFonts w:ascii="Times New Roman" w:hAnsi="Times New Roman" w:cs="Times New Roman"/>
          <w:b/>
          <w:bCs/>
        </w:rPr>
      </w:pPr>
    </w:p>
    <w:p w14:paraId="0AB5C8EB" w14:textId="77777777" w:rsidR="00E93759" w:rsidRDefault="00E93759" w:rsidP="00C644A6">
      <w:pPr>
        <w:pStyle w:val="PargrafodaLista"/>
        <w:spacing w:after="0" w:line="360" w:lineRule="auto"/>
        <w:jc w:val="both"/>
        <w:rPr>
          <w:rFonts w:ascii="Times New Roman" w:hAnsi="Times New Roman" w:cs="Times New Roman"/>
          <w:b/>
          <w:bCs/>
        </w:rPr>
      </w:pPr>
    </w:p>
    <w:p w14:paraId="6C68CF60" w14:textId="77777777" w:rsidR="00E93759" w:rsidRDefault="00E93759" w:rsidP="00C644A6">
      <w:pPr>
        <w:pStyle w:val="PargrafodaLista"/>
        <w:spacing w:after="0" w:line="360" w:lineRule="auto"/>
        <w:jc w:val="both"/>
        <w:rPr>
          <w:rFonts w:ascii="Times New Roman" w:hAnsi="Times New Roman" w:cs="Times New Roman"/>
          <w:b/>
          <w:bCs/>
        </w:rPr>
      </w:pPr>
    </w:p>
    <w:p w14:paraId="710C7A77" w14:textId="77777777" w:rsidR="00E93759" w:rsidRDefault="00E93759" w:rsidP="00C644A6">
      <w:pPr>
        <w:pStyle w:val="PargrafodaLista"/>
        <w:spacing w:after="0" w:line="360" w:lineRule="auto"/>
        <w:jc w:val="both"/>
        <w:rPr>
          <w:rFonts w:ascii="Times New Roman" w:hAnsi="Times New Roman" w:cs="Times New Roman"/>
          <w:b/>
          <w:bCs/>
        </w:rPr>
      </w:pPr>
    </w:p>
    <w:p w14:paraId="56DF7434" w14:textId="77777777" w:rsidR="00C644A6" w:rsidRDefault="00C644A6" w:rsidP="00C644A6">
      <w:pPr>
        <w:pStyle w:val="PargrafodaLista"/>
        <w:spacing w:after="0" w:line="360" w:lineRule="auto"/>
        <w:jc w:val="both"/>
        <w:rPr>
          <w:rFonts w:ascii="Times New Roman" w:hAnsi="Times New Roman" w:cs="Times New Roman"/>
          <w:b/>
          <w:bCs/>
        </w:rPr>
      </w:pPr>
    </w:p>
    <w:p w14:paraId="2473701C" w14:textId="77777777" w:rsidR="00E93759" w:rsidRPr="00E93759" w:rsidRDefault="00E93759" w:rsidP="00C644A6">
      <w:pPr>
        <w:pStyle w:val="PargrafodaLista"/>
        <w:spacing w:after="0" w:line="360" w:lineRule="auto"/>
        <w:jc w:val="both"/>
        <w:rPr>
          <w:rFonts w:ascii="Times New Roman" w:hAnsi="Times New Roman" w:cs="Times New Roman"/>
          <w:b/>
          <w:bCs/>
        </w:rPr>
      </w:pPr>
    </w:p>
    <w:p w14:paraId="3B9DC50A" w14:textId="77777777" w:rsidR="00C644A6" w:rsidRPr="00E93759" w:rsidRDefault="00C644A6" w:rsidP="00C644A6">
      <w:pPr>
        <w:pStyle w:val="PargrafodaLista"/>
        <w:spacing w:after="0" w:line="360" w:lineRule="auto"/>
        <w:jc w:val="both"/>
        <w:rPr>
          <w:rFonts w:ascii="Times New Roman" w:hAnsi="Times New Roman" w:cs="Times New Roman"/>
          <w:b/>
          <w:bCs/>
        </w:rPr>
      </w:pPr>
    </w:p>
    <w:p w14:paraId="51FC16BC" w14:textId="77777777" w:rsidR="00C644A6" w:rsidRPr="00E93759" w:rsidRDefault="00C644A6" w:rsidP="00C644A6">
      <w:pPr>
        <w:pStyle w:val="PargrafodaLista"/>
        <w:spacing w:after="0" w:line="360" w:lineRule="auto"/>
        <w:jc w:val="both"/>
        <w:rPr>
          <w:rFonts w:ascii="Times New Roman" w:hAnsi="Times New Roman" w:cs="Times New Roman"/>
          <w:b/>
          <w:bCs/>
        </w:rPr>
      </w:pPr>
    </w:p>
    <w:p w14:paraId="1DEF1C24" w14:textId="28F55EAE" w:rsidR="00DD7B20" w:rsidRPr="00E93759" w:rsidRDefault="00DD7B20" w:rsidP="00DD7B20">
      <w:pPr>
        <w:pStyle w:val="PargrafodaLista"/>
        <w:numPr>
          <w:ilvl w:val="0"/>
          <w:numId w:val="9"/>
        </w:numPr>
        <w:spacing w:after="0" w:line="360" w:lineRule="auto"/>
        <w:jc w:val="both"/>
        <w:rPr>
          <w:rFonts w:ascii="Times New Roman" w:hAnsi="Times New Roman" w:cs="Times New Roman"/>
          <w:b/>
          <w:bCs/>
        </w:rPr>
      </w:pPr>
      <w:r w:rsidRPr="00E93759">
        <w:rPr>
          <w:rFonts w:ascii="Times New Roman" w:hAnsi="Times New Roman" w:cs="Times New Roman"/>
          <w:b/>
          <w:bCs/>
        </w:rPr>
        <w:lastRenderedPageBreak/>
        <w:t>Introdução</w:t>
      </w:r>
    </w:p>
    <w:p w14:paraId="7EF9EF2C" w14:textId="77777777" w:rsidR="007E33DA" w:rsidRPr="00E93759" w:rsidRDefault="007E33DA" w:rsidP="007E33DA">
      <w:pPr>
        <w:pStyle w:val="NormalWeb"/>
        <w:spacing w:before="0" w:beforeAutospacing="0" w:after="0" w:afterAutospacing="0" w:line="360" w:lineRule="auto"/>
        <w:ind w:firstLine="360"/>
        <w:jc w:val="both"/>
      </w:pPr>
      <w:r w:rsidRPr="00E93759">
        <w:t>As eleições presidenciais constituem um dos principais mecanismos de mediação entre Estado e sociedade nas democracias contemporâneas, especialmente em contextos marcados por desigualdades socioeconômicas, como o brasileiro. Nesse nível, a competição eleitoral envolve não apenas a disputa por cargos, mas a formulação de projetos nacionais de desenvolvimento, a organização do Estado e a definição de prioridades de políticas públicas. Sob essa ótica, as disputas brasileiras de 2018 e 2022 não podem ser analisadas isoladamente; elas se inserem em um contexto global de guinada à direita e à extrema-direita observado ao longo da década de 2010.</w:t>
      </w:r>
    </w:p>
    <w:p w14:paraId="2EAE7D8B" w14:textId="473603CB" w:rsidR="007E33DA" w:rsidRPr="00E93759" w:rsidRDefault="007E33DA" w:rsidP="007E33DA">
      <w:pPr>
        <w:pStyle w:val="NormalWeb"/>
        <w:spacing w:before="0" w:beforeAutospacing="0" w:after="0" w:afterAutospacing="0" w:line="360" w:lineRule="auto"/>
        <w:ind w:firstLine="360"/>
        <w:jc w:val="both"/>
      </w:pPr>
      <w:r w:rsidRPr="00E93759">
        <w:t>Este movimento teve precursores importantes no Leste Europeu — como na Polônia, com o partido Lei e Justiça (</w:t>
      </w:r>
      <w:proofErr w:type="spellStart"/>
      <w:r w:rsidRPr="00E93759">
        <w:t>PiS</w:t>
      </w:r>
      <w:proofErr w:type="spellEnd"/>
      <w:r w:rsidRPr="00E93759">
        <w:t xml:space="preserve">), e na Hungria de Viktor </w:t>
      </w:r>
      <w:proofErr w:type="spellStart"/>
      <w:r w:rsidRPr="00E93759">
        <w:t>Orbán</w:t>
      </w:r>
      <w:proofErr w:type="spellEnd"/>
      <w:r w:rsidRPr="00E93759">
        <w:t xml:space="preserve"> — mas ganhou escala global com a vitória de Donald Trump nos EUA, em 2016. Com um discurso nacionalista, protecionista e </w:t>
      </w:r>
      <w:proofErr w:type="spellStart"/>
      <w:r w:rsidRPr="00E93759">
        <w:rPr>
          <w:i/>
          <w:iCs/>
        </w:rPr>
        <w:t>anti-establishment</w:t>
      </w:r>
      <w:proofErr w:type="spellEnd"/>
      <w:r w:rsidRPr="00E93759">
        <w:t>, Trump utilizou as redes sociais para polarizar a campanha e mobilizar o eleitorado conservador, estabelecendo um modelo de comunicação política baseado na "desintermediação". Líderes passaram a ignorar a imprensa tradicional para falar diretamente com o eleitor, utilizando Big Data e a "</w:t>
      </w:r>
      <w:proofErr w:type="spellStart"/>
      <w:r w:rsidRPr="00E93759">
        <w:t>memetização</w:t>
      </w:r>
      <w:proofErr w:type="spellEnd"/>
      <w:r w:rsidRPr="00E93759">
        <w:t>" da política para transformar conteúdos complexos em apelos virais</w:t>
      </w:r>
      <w:r w:rsidR="00CF3E86" w:rsidRPr="00E93759">
        <w:t xml:space="preserve"> (Cesarino, 2019)</w:t>
      </w:r>
      <w:r w:rsidRPr="00E93759">
        <w:t>.</w:t>
      </w:r>
    </w:p>
    <w:p w14:paraId="32E32ADF" w14:textId="6C7C5AE1" w:rsidR="007E33DA" w:rsidRPr="00E93759" w:rsidRDefault="007E33DA" w:rsidP="007E33DA">
      <w:pPr>
        <w:pStyle w:val="NormalWeb"/>
        <w:spacing w:before="0" w:beforeAutospacing="0" w:after="0" w:afterAutospacing="0" w:line="360" w:lineRule="auto"/>
        <w:ind w:firstLine="360"/>
        <w:jc w:val="both"/>
      </w:pPr>
      <w:r w:rsidRPr="00E93759">
        <w:t xml:space="preserve">No Brasil, esse cenário encontrou solo fértil no sentimento de antipetismo e no esgotamento institucional revelado pela Operação Lava Jato. O fenômeno do bolsonarismo em 2018 espelhou a onda global ao consolidar uma coalizão de agendas morais, securitárias e neoliberais (Cesarino, 2019). A fragmentação do centro político permitiu que Jair Bolsonaro se apresentasse como a única alternativa viável ao sistema, vencendo Fernando Haddad — que substituiu a candidatura de Lula sob forte pressão jurídica — com 55,13% dos votos válidos, </w:t>
      </w:r>
      <w:r w:rsidR="00CF3E86" w:rsidRPr="00E93759">
        <w:t>e</w:t>
      </w:r>
      <w:r w:rsidRPr="00E93759">
        <w:t xml:space="preserve"> a promessa de ruptura total com a "velha política".</w:t>
      </w:r>
    </w:p>
    <w:p w14:paraId="584CF80F" w14:textId="4134E7F6" w:rsidR="007E33DA" w:rsidRPr="00E93759" w:rsidRDefault="007E33DA" w:rsidP="007E33DA">
      <w:pPr>
        <w:pStyle w:val="NormalWeb"/>
        <w:spacing w:before="0" w:beforeAutospacing="0" w:after="0" w:afterAutospacing="0" w:line="360" w:lineRule="auto"/>
        <w:ind w:firstLine="360"/>
        <w:jc w:val="both"/>
      </w:pPr>
      <w:r w:rsidRPr="00E93759">
        <w:t xml:space="preserve">Quatro anos depois, o cenário de 2022 apresentou uma reconfiguração da disputa com o retorno de Lula às urnas. </w:t>
      </w:r>
      <w:r w:rsidR="00CF3E86" w:rsidRPr="00E93759">
        <w:t>R</w:t>
      </w:r>
      <w:r w:rsidRPr="00E93759">
        <w:t>etorno</w:t>
      </w:r>
      <w:r w:rsidR="00CF3E86" w:rsidRPr="00E93759">
        <w:t xml:space="preserve"> que</w:t>
      </w:r>
      <w:r w:rsidRPr="00E93759">
        <w:t xml:space="preserve"> foi viabilizado por decisões do Supremo Tribunal Federal (STF) que anularam suas condenações</w:t>
      </w:r>
      <w:r w:rsidR="00CF3E86" w:rsidRPr="00E93759">
        <w:t xml:space="preserve"> no âmbito da Operação Lava Jato</w:t>
      </w:r>
      <w:r w:rsidRPr="00E93759">
        <w:t xml:space="preserve">, permitindo que a eleição assumisse um caráter de confronto direto entre dois projetos de poder já testados. Nas narrativas de palanque, Lula adotou uma retórica de reconstrução, buscando amplas alianças e enfatizando o respeito às instituições, à ciência e à democracia. Em contrapartida, Bolsonaro ancorou seu discurso na continuidade </w:t>
      </w:r>
      <w:r w:rsidRPr="00E93759">
        <w:lastRenderedPageBreak/>
        <w:t>administrativa, em valores conservadores e em críticas contundentes ao sistema institucional</w:t>
      </w:r>
      <w:r w:rsidR="00CF3E86" w:rsidRPr="00E93759">
        <w:t xml:space="preserve">, sobretudo ao Supremo tribunal Federal, na figura de Alexandre de Moraes. </w:t>
      </w:r>
    </w:p>
    <w:p w14:paraId="3E1E4D0A" w14:textId="25B3903A" w:rsidR="007E33DA" w:rsidRPr="00E93759" w:rsidRDefault="007E33DA" w:rsidP="007E33DA">
      <w:pPr>
        <w:pStyle w:val="NormalWeb"/>
        <w:spacing w:before="0" w:beforeAutospacing="0" w:after="0" w:afterAutospacing="0" w:line="360" w:lineRule="auto"/>
        <w:ind w:firstLine="360"/>
        <w:jc w:val="both"/>
      </w:pPr>
      <w:r w:rsidRPr="00E93759">
        <w:t>A disputa de 2022 foi marcada por um tom menos programático e mais centrado na rejeição mútua e em pautas morais e religiosas. Enquanto o petista enfatizava a experiência e a estabilidade, o incumbente apostava na mobilização ideológica e no uso intensivo das redes sociais, reforçando o caráter personalista e polarizado do pleito.</w:t>
      </w:r>
      <w:r w:rsidR="00CF3E86" w:rsidRPr="00E93759">
        <w:t xml:space="preserve"> </w:t>
      </w:r>
      <w:r w:rsidRPr="00E93759">
        <w:t xml:space="preserve">No segundo turno, em uma das eleições mais acirradas da história republicana, Lula venceu por uma margem estreita (50,9% contra 49,1%). </w:t>
      </w:r>
    </w:p>
    <w:p w14:paraId="2F219B63" w14:textId="10445BB7" w:rsidR="00CF3E86" w:rsidRPr="00E93759" w:rsidRDefault="007E33DA" w:rsidP="00CF3E86">
      <w:pPr>
        <w:pStyle w:val="NormalWeb"/>
        <w:spacing w:before="0" w:beforeAutospacing="0" w:after="0" w:afterAutospacing="0" w:line="360" w:lineRule="auto"/>
        <w:ind w:firstLine="360"/>
        <w:jc w:val="both"/>
      </w:pPr>
      <w:r w:rsidRPr="00E93759">
        <w:t>Essa intensificação da polarização política no Brasil tem sido amplamente interpretada como evidência de um crescente distanciamento ideológico entre os principais atores</w:t>
      </w:r>
      <w:r w:rsidR="00BF6A3F" w:rsidRPr="00E93759">
        <w:t xml:space="preserve">, construindo um abismo entre os extremos. </w:t>
      </w:r>
      <w:r w:rsidRPr="00E93759">
        <w:t xml:space="preserve">No entanto, tal percepção baseia-se </w:t>
      </w:r>
      <w:r w:rsidR="00CF3E86" w:rsidRPr="00E93759">
        <w:t xml:space="preserve">inicialmente </w:t>
      </w:r>
      <w:r w:rsidRPr="00E93759">
        <w:t xml:space="preserve">no plano discursivo e nas narrativas de redes sociais, sem considerar sistematicamente </w:t>
      </w:r>
      <w:r w:rsidR="00BF6A3F" w:rsidRPr="00E93759">
        <w:t>dados quantitativos</w:t>
      </w:r>
      <w:r w:rsidR="00EF6DAB" w:rsidRPr="00E93759">
        <w:t>. Para Nunes (2025) os eventos da última década, especialmente, entre 2017 e 2018, levaram uma parcela do eleitorado a se definir como de direita, de modo que a ascensão de Bolsonaro contribuiu para essa autoidentificação política (Nunes, 2024).</w:t>
      </w:r>
      <w:r w:rsidR="00CF3E86" w:rsidRPr="00E93759">
        <w:t xml:space="preserve"> Somado a isso a ideia de que ser de direita é ser bolsonarista parece não ter ganhado muitas críticas. </w:t>
      </w:r>
    </w:p>
    <w:p w14:paraId="431DFC35" w14:textId="33E692E0" w:rsidR="00AF663A" w:rsidRPr="00E93759" w:rsidRDefault="00CF3E86" w:rsidP="00AF663A">
      <w:pPr>
        <w:pStyle w:val="NormalWeb"/>
        <w:spacing w:before="0" w:beforeAutospacing="0" w:after="0" w:afterAutospacing="0" w:line="360" w:lineRule="auto"/>
        <w:ind w:firstLine="360"/>
        <w:jc w:val="both"/>
      </w:pPr>
      <w:r w:rsidRPr="00E93759">
        <w:t xml:space="preserve">Este contexto </w:t>
      </w:r>
      <w:r w:rsidR="00AF663A" w:rsidRPr="00E93759">
        <w:t>suscita questões fundamentais: que direita é essa que emerge no cenário nacional e de que maneira seus candidatos estabelecem conexão com esse eleitorado? Quais seriam, afinal, as ferramentas de aproximação discursiva utilizadas nesse processo?</w:t>
      </w:r>
    </w:p>
    <w:p w14:paraId="0FD60F64" w14:textId="77777777" w:rsidR="00E82EA5" w:rsidRPr="00E93759" w:rsidRDefault="00AF663A" w:rsidP="00AF663A">
      <w:pPr>
        <w:pStyle w:val="NormalWeb"/>
        <w:spacing w:before="0" w:beforeAutospacing="0" w:after="0" w:afterAutospacing="0" w:line="360" w:lineRule="auto"/>
        <w:ind w:firstLine="360"/>
        <w:jc w:val="both"/>
      </w:pPr>
      <w:r w:rsidRPr="00E93759">
        <w:t>Com o intuito de responder a essas provocações, este trabalho analisa os Programas de Governo dos candidatos ao segundo turno de 2018 e 2022. O objetivo é investigar se o radicalismo da retórica eleitoral encontrou correspondência em propostas de políticas públicas substantivas ou se permaneceu restrito ao plano simbólico da disputa.</w:t>
      </w:r>
      <w:r w:rsidR="00E82EA5" w:rsidRPr="00E93759">
        <w:t xml:space="preserve"> </w:t>
      </w:r>
      <w:r w:rsidR="00CF3E86" w:rsidRPr="00E93759">
        <w:t>Nesse sentido, o</w:t>
      </w:r>
      <w:r w:rsidR="007E33DA" w:rsidRPr="00E93759">
        <w:t>s Programas de Governo — documentos legalmente exigidos no processo eleitoral brasileiro — funcionam como</w:t>
      </w:r>
      <w:r w:rsidR="00CF3E86" w:rsidRPr="00E93759">
        <w:t xml:space="preserve"> um valioso instrumento</w:t>
      </w:r>
      <w:r w:rsidR="007E33DA" w:rsidRPr="00E93759">
        <w:t xml:space="preserve"> de </w:t>
      </w:r>
      <w:r w:rsidR="00CF3E86" w:rsidRPr="00E93759">
        <w:t>medição dessa</w:t>
      </w:r>
      <w:r w:rsidR="007E33DA" w:rsidRPr="00E93759">
        <w:t xml:space="preserve"> competição política. </w:t>
      </w:r>
    </w:p>
    <w:p w14:paraId="11099D23" w14:textId="604345B5" w:rsidR="007E33DA" w:rsidRPr="00E93759" w:rsidRDefault="007E33DA" w:rsidP="00AF663A">
      <w:pPr>
        <w:pStyle w:val="NormalWeb"/>
        <w:spacing w:before="0" w:beforeAutospacing="0" w:after="0" w:afterAutospacing="0" w:line="360" w:lineRule="auto"/>
        <w:ind w:firstLine="360"/>
        <w:jc w:val="both"/>
      </w:pPr>
      <w:r w:rsidRPr="00E93759">
        <w:t>A hipótese central deste estudo sustenta que, embora o discurso eleitoral enfatize clivagens acentuadas, os programas tendem a convergir para posições mais moderadas, próximas ao centro do espectro político, como estratégia para alcançar o eleitor mediano. Argumenta-se que a polarização opera sobretudo como recurso de mobilização, enquanto os documentos formais privilegiam propostas capazes de reduzir resistências entre eleitores indecisos e viabilizar a governabilidade.</w:t>
      </w:r>
    </w:p>
    <w:p w14:paraId="7445677B" w14:textId="35EC24A1" w:rsidR="007E33DA" w:rsidRPr="00E93759" w:rsidRDefault="007E33DA" w:rsidP="007E33DA">
      <w:pPr>
        <w:pStyle w:val="NormalWeb"/>
        <w:spacing w:before="0" w:beforeAutospacing="0" w:after="0" w:afterAutospacing="0" w:line="360" w:lineRule="auto"/>
        <w:ind w:firstLine="360"/>
        <w:jc w:val="both"/>
      </w:pPr>
      <w:r w:rsidRPr="00E93759">
        <w:lastRenderedPageBreak/>
        <w:t>Do ponto de vista teórico, o estudo dialoga com a teoria espacial do voto de Anthony Downs e os conceitos de saliência temática. Metodologicamente, adota-se uma análise documental comparativa, classificando as propostas em eixos centrais — saúde, educação, segurança e economia — para avaliar sua inclinação ideológica relativa.</w:t>
      </w:r>
    </w:p>
    <w:p w14:paraId="3E7B5723" w14:textId="72994973" w:rsidR="00E93759" w:rsidRPr="00E93759" w:rsidRDefault="00C974B5" w:rsidP="00E93759">
      <w:pPr>
        <w:spacing w:after="0" w:line="360" w:lineRule="auto"/>
        <w:jc w:val="both"/>
        <w:rPr>
          <w:rFonts w:ascii="Times New Roman" w:hAnsi="Times New Roman" w:cs="Times New Roman"/>
        </w:rPr>
      </w:pPr>
      <w:r w:rsidRPr="00E93759">
        <w:rPr>
          <w:rFonts w:ascii="Times New Roman" w:hAnsi="Times New Roman" w:cs="Times New Roman"/>
        </w:rPr>
        <w:t xml:space="preserve">Para além dessa breve introdução este trabalho está composto de mais 4 capítulos. No segundo capítulo “Partidos e a otimização de campanhas”, fazemos </w:t>
      </w:r>
      <w:r w:rsidR="00E93759" w:rsidRPr="00E93759">
        <w:rPr>
          <w:rFonts w:ascii="Times New Roman" w:hAnsi="Times New Roman" w:cs="Times New Roman"/>
        </w:rPr>
        <w:t>uma abordagem</w:t>
      </w:r>
      <w:r w:rsidRPr="00E93759">
        <w:rPr>
          <w:rFonts w:ascii="Times New Roman" w:hAnsi="Times New Roman" w:cs="Times New Roman"/>
        </w:rPr>
        <w:t xml:space="preserve"> da teoria espacial do voto</w:t>
      </w:r>
      <w:r w:rsidR="00E93759" w:rsidRPr="00E93759">
        <w:rPr>
          <w:rFonts w:ascii="Times New Roman" w:hAnsi="Times New Roman" w:cs="Times New Roman"/>
        </w:rPr>
        <w:t xml:space="preserve">, tendo como principal referencia os trabalhos de Antony </w:t>
      </w:r>
      <w:proofErr w:type="spellStart"/>
      <w:r w:rsidR="00E93759" w:rsidRPr="00E93759">
        <w:rPr>
          <w:rFonts w:ascii="Times New Roman" w:hAnsi="Times New Roman" w:cs="Times New Roman"/>
        </w:rPr>
        <w:t>Dows</w:t>
      </w:r>
      <w:proofErr w:type="spellEnd"/>
      <w:r w:rsidR="00E93759" w:rsidRPr="00E93759">
        <w:rPr>
          <w:rFonts w:ascii="Times New Roman" w:hAnsi="Times New Roman" w:cs="Times New Roman"/>
        </w:rPr>
        <w:t xml:space="preserve">. Já no terceiro capítulo, “Esquerda x Direita”, sintetizamos nossa escolha teórica em relação as posições partidárias, levando em consideração a complexidade dessa tarefa. No capítulo quatro “Problema de pesquisa e metodologia”, apresentamos a tabela base para </w:t>
      </w:r>
      <w:proofErr w:type="gramStart"/>
      <w:r w:rsidR="00E93759" w:rsidRPr="00E93759">
        <w:rPr>
          <w:rFonts w:ascii="Times New Roman" w:hAnsi="Times New Roman" w:cs="Times New Roman"/>
        </w:rPr>
        <w:t>analise</w:t>
      </w:r>
      <w:proofErr w:type="gramEnd"/>
      <w:r w:rsidR="00E93759" w:rsidRPr="00E93759">
        <w:rPr>
          <w:rFonts w:ascii="Times New Roman" w:hAnsi="Times New Roman" w:cs="Times New Roman"/>
        </w:rPr>
        <w:t xml:space="preserve"> dos programas de governo e suas respectivas pontuações. No capítulo cinco “Eleições”, analisamos e comparamos os programas dos candidatos Bolsonaro (PSL), Haddad (PT) em 2018, Bolsonaro (PL) e Lula (PT) em 2022. Por fim no capítulo seis, apresentamos as conclusões finais e limitações deste trabalho. </w:t>
      </w:r>
    </w:p>
    <w:p w14:paraId="5FF6FE09" w14:textId="77777777" w:rsidR="007D0059" w:rsidRPr="00E93759" w:rsidRDefault="007D0059" w:rsidP="000859CA">
      <w:pPr>
        <w:spacing w:after="0" w:line="360" w:lineRule="auto"/>
        <w:ind w:firstLine="360"/>
        <w:jc w:val="both"/>
        <w:rPr>
          <w:rFonts w:ascii="Times New Roman" w:hAnsi="Times New Roman" w:cs="Times New Roman"/>
        </w:rPr>
      </w:pPr>
    </w:p>
    <w:p w14:paraId="433482A6" w14:textId="1F062A99" w:rsidR="00DD7B20" w:rsidRPr="00E93759" w:rsidRDefault="001A5AFA" w:rsidP="001A5AFA">
      <w:pPr>
        <w:pStyle w:val="PargrafodaLista"/>
        <w:numPr>
          <w:ilvl w:val="0"/>
          <w:numId w:val="9"/>
        </w:numPr>
        <w:spacing w:after="0" w:line="360" w:lineRule="auto"/>
        <w:jc w:val="both"/>
        <w:rPr>
          <w:rFonts w:ascii="Times New Roman" w:hAnsi="Times New Roman" w:cs="Times New Roman"/>
        </w:rPr>
      </w:pPr>
      <w:r w:rsidRPr="00E93759">
        <w:rPr>
          <w:rFonts w:ascii="Times New Roman" w:hAnsi="Times New Roman" w:cs="Times New Roman"/>
        </w:rPr>
        <w:t>Partidos e a otimização de campanhas</w:t>
      </w:r>
    </w:p>
    <w:p w14:paraId="30BE387A" w14:textId="2C881E74" w:rsidR="00AF663A"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A competição eleitoral pode ser compreendida como uma forma institucionalizada de mediação entre Estado e sociedade, na qual diferentes atores disputam a representação legítima de interesses, identidades e projetos coletivos. Mais do que um processo estritamente estratégico, as campanhas constituem arenas de produção simbólica nas quais se definem diagnósticos sobre a realidade social, prioridades de ação estatal e formas de construção de legitimidade política. </w:t>
      </w:r>
    </w:p>
    <w:p w14:paraId="6E516349" w14:textId="77777777" w:rsidR="00E1016C"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Na tradição da sociologia política, esse processo está associado à própria formação do poder moderno. Weber (1999) define a política como a busca pela participação no poder ou pela influência sobre sua distribuição, destacando o papel das organizações partidárias como mediadoras entre governantes e governados. Em democracias representativas, partidos e candidatos atuam como empreendedores políticos que procuram transformar demandas sociais difusas em programas de ação estatal.</w:t>
      </w:r>
    </w:p>
    <w:p w14:paraId="2C0DDC5A" w14:textId="77777777" w:rsidR="00E1016C"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Um dos modelos analíticos mais influentes para compreender o comportamento eleitoral é o proposto por Anthony Downs em </w:t>
      </w:r>
      <w:proofErr w:type="spellStart"/>
      <w:r w:rsidRPr="00E93759">
        <w:rPr>
          <w:rFonts w:ascii="Times New Roman" w:hAnsi="Times New Roman" w:cs="Times New Roman"/>
          <w:i/>
          <w:iCs/>
        </w:rPr>
        <w:t>An</w:t>
      </w:r>
      <w:proofErr w:type="spellEnd"/>
      <w:r w:rsidRPr="00E93759">
        <w:rPr>
          <w:rFonts w:ascii="Times New Roman" w:hAnsi="Times New Roman" w:cs="Times New Roman"/>
          <w:i/>
          <w:iCs/>
        </w:rPr>
        <w:t xml:space="preserve"> Economic </w:t>
      </w:r>
      <w:proofErr w:type="spellStart"/>
      <w:r w:rsidRPr="00E93759">
        <w:rPr>
          <w:rFonts w:ascii="Times New Roman" w:hAnsi="Times New Roman" w:cs="Times New Roman"/>
          <w:i/>
          <w:iCs/>
        </w:rPr>
        <w:t>Theory</w:t>
      </w:r>
      <w:proofErr w:type="spellEnd"/>
      <w:r w:rsidRPr="00E93759">
        <w:rPr>
          <w:rFonts w:ascii="Times New Roman" w:hAnsi="Times New Roman" w:cs="Times New Roman"/>
          <w:i/>
          <w:iCs/>
        </w:rPr>
        <w:t xml:space="preserve"> </w:t>
      </w:r>
      <w:proofErr w:type="spellStart"/>
      <w:r w:rsidRPr="00E93759">
        <w:rPr>
          <w:rFonts w:ascii="Times New Roman" w:hAnsi="Times New Roman" w:cs="Times New Roman"/>
          <w:i/>
          <w:iCs/>
        </w:rPr>
        <w:t>of</w:t>
      </w:r>
      <w:proofErr w:type="spellEnd"/>
      <w:r w:rsidRPr="00E93759">
        <w:rPr>
          <w:rFonts w:ascii="Times New Roman" w:hAnsi="Times New Roman" w:cs="Times New Roman"/>
          <w:i/>
          <w:iCs/>
        </w:rPr>
        <w:t xml:space="preserve"> </w:t>
      </w:r>
      <w:proofErr w:type="spellStart"/>
      <w:r w:rsidRPr="00E93759">
        <w:rPr>
          <w:rFonts w:ascii="Times New Roman" w:hAnsi="Times New Roman" w:cs="Times New Roman"/>
          <w:i/>
          <w:iCs/>
        </w:rPr>
        <w:t>Democracy</w:t>
      </w:r>
      <w:proofErr w:type="spellEnd"/>
      <w:r w:rsidRPr="00E93759">
        <w:rPr>
          <w:rFonts w:ascii="Times New Roman" w:hAnsi="Times New Roman" w:cs="Times New Roman"/>
        </w:rPr>
        <w:t xml:space="preserve"> (1957). O autor argumenta que eleitores operam sob condições de informação limitada e recorrem a atalhos cognitivos — como ideologia e identificação partidária — para orientar suas escolhas. Esses mecanismos funcionam como simplificações cognitivas que permitem </w:t>
      </w:r>
      <w:r w:rsidRPr="00E93759">
        <w:rPr>
          <w:rFonts w:ascii="Times New Roman" w:hAnsi="Times New Roman" w:cs="Times New Roman"/>
        </w:rPr>
        <w:lastRenderedPageBreak/>
        <w:t>aos indivíduos posicionar candidatos e partidos em relação a suas próprias percepções sociais e políticas.</w:t>
      </w:r>
    </w:p>
    <w:p w14:paraId="684F4ED9" w14:textId="77777777" w:rsidR="00E1016C"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No modelo </w:t>
      </w:r>
      <w:proofErr w:type="spellStart"/>
      <w:r w:rsidRPr="00E93759">
        <w:rPr>
          <w:rFonts w:ascii="Times New Roman" w:hAnsi="Times New Roman" w:cs="Times New Roman"/>
          <w:i/>
          <w:iCs/>
        </w:rPr>
        <w:t>downsiano</w:t>
      </w:r>
      <w:proofErr w:type="spellEnd"/>
      <w:r w:rsidRPr="00E93759">
        <w:rPr>
          <w:rFonts w:ascii="Times New Roman" w:hAnsi="Times New Roman" w:cs="Times New Roman"/>
        </w:rPr>
        <w:t>, a competição política é representada em um eixo ideológico que vai da esquerda à direita, no qual partidos ajustam suas posições com o objetivo de maximizar apoio eleitoral. A hipótese central é que, em contextos competitivos, as legendas tendem a convergir em direção à posição do eleitor mediano, onde se concentra a maior parcela de votos potencialmente decisivos.</w:t>
      </w:r>
    </w:p>
    <w:p w14:paraId="157B0E12" w14:textId="77777777" w:rsidR="00E1016C" w:rsidRPr="00E93759" w:rsidRDefault="00E1016C"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Mas</w:t>
      </w:r>
      <w:r w:rsidR="00AF663A" w:rsidRPr="00E93759">
        <w:rPr>
          <w:rFonts w:ascii="Times New Roman" w:hAnsi="Times New Roman" w:cs="Times New Roman"/>
        </w:rPr>
        <w:t xml:space="preserve"> essa convergência não pode ser compreendida apenas como cálculo racional abstrato, mas como resposta às estruturas sociais e às clivagens existentes no eleitorado. Bourdieu (1998) argumenta que o campo político é um espaço de disputas no qual agentes procuram impor visões legítimas do mundo social, mobilizando recursos simbólicos e representações coletivas. Nesse sentido, programas eleitorais não são apenas listas de propostas, mas instrumentos de construção de sentido e de definição das prioridades legítimas da ação estatal.</w:t>
      </w:r>
    </w:p>
    <w:p w14:paraId="77714E88" w14:textId="77777777" w:rsidR="00E1016C"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A distinção entre eleitores fiéis (</w:t>
      </w:r>
      <w:r w:rsidRPr="00E93759">
        <w:rPr>
          <w:rFonts w:ascii="Times New Roman" w:hAnsi="Times New Roman" w:cs="Times New Roman"/>
          <w:i/>
          <w:iCs/>
        </w:rPr>
        <w:t xml:space="preserve">core </w:t>
      </w:r>
      <w:proofErr w:type="spellStart"/>
      <w:r w:rsidRPr="00E93759">
        <w:rPr>
          <w:rFonts w:ascii="Times New Roman" w:hAnsi="Times New Roman" w:cs="Times New Roman"/>
          <w:i/>
          <w:iCs/>
        </w:rPr>
        <w:t>voters</w:t>
      </w:r>
      <w:proofErr w:type="spellEnd"/>
      <w:r w:rsidRPr="00E93759">
        <w:rPr>
          <w:rFonts w:ascii="Times New Roman" w:hAnsi="Times New Roman" w:cs="Times New Roman"/>
        </w:rPr>
        <w:t>) e eleitores flutuantes (</w:t>
      </w:r>
      <w:r w:rsidRPr="00E93759">
        <w:rPr>
          <w:rFonts w:ascii="Times New Roman" w:hAnsi="Times New Roman" w:cs="Times New Roman"/>
          <w:i/>
          <w:iCs/>
        </w:rPr>
        <w:t xml:space="preserve">swing </w:t>
      </w:r>
      <w:proofErr w:type="spellStart"/>
      <w:r w:rsidRPr="00E93759">
        <w:rPr>
          <w:rFonts w:ascii="Times New Roman" w:hAnsi="Times New Roman" w:cs="Times New Roman"/>
          <w:i/>
          <w:iCs/>
        </w:rPr>
        <w:t>voters</w:t>
      </w:r>
      <w:proofErr w:type="spellEnd"/>
      <w:r w:rsidRPr="00E93759">
        <w:rPr>
          <w:rFonts w:ascii="Times New Roman" w:hAnsi="Times New Roman" w:cs="Times New Roman"/>
        </w:rPr>
        <w:t xml:space="preserve">) revela como essas disputas se organizam socialmente. </w:t>
      </w:r>
      <w:proofErr w:type="spellStart"/>
      <w:r w:rsidRPr="00E93759">
        <w:rPr>
          <w:rFonts w:ascii="Times New Roman" w:hAnsi="Times New Roman" w:cs="Times New Roman"/>
        </w:rPr>
        <w:t>Lindbeck</w:t>
      </w:r>
      <w:proofErr w:type="spellEnd"/>
      <w:r w:rsidRPr="00E93759">
        <w:rPr>
          <w:rFonts w:ascii="Times New Roman" w:hAnsi="Times New Roman" w:cs="Times New Roman"/>
        </w:rPr>
        <w:t xml:space="preserve"> e </w:t>
      </w:r>
      <w:proofErr w:type="spellStart"/>
      <w:r w:rsidRPr="00E93759">
        <w:rPr>
          <w:rFonts w:ascii="Times New Roman" w:hAnsi="Times New Roman" w:cs="Times New Roman"/>
        </w:rPr>
        <w:t>Weibull</w:t>
      </w:r>
      <w:proofErr w:type="spellEnd"/>
      <w:r w:rsidRPr="00E93759">
        <w:rPr>
          <w:rFonts w:ascii="Times New Roman" w:hAnsi="Times New Roman" w:cs="Times New Roman"/>
        </w:rPr>
        <w:t xml:space="preserve"> (1987) destacam que partidos tendem a direcionar seus esforços principalmente aos eleitores indecisos, cujo comportamento apresenta maior volatilidade e capacidade de influenciar o resultado eleitoral. Para conquistar esse segmento heterogêneo, campanhas frequentemente moderam posições programáticas e enfatizam temas de interesse transversal, capazes de mobilizar diferentes grupos sociais.</w:t>
      </w:r>
    </w:p>
    <w:p w14:paraId="209905C2" w14:textId="77777777" w:rsidR="00E1016C"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As preferências por políticas públicas também refletem a posição socioeconômica dos eleitores. </w:t>
      </w:r>
      <w:proofErr w:type="spellStart"/>
      <w:r w:rsidRPr="00E93759">
        <w:rPr>
          <w:rFonts w:ascii="Times New Roman" w:hAnsi="Times New Roman" w:cs="Times New Roman"/>
        </w:rPr>
        <w:t>Meltzer</w:t>
      </w:r>
      <w:proofErr w:type="spellEnd"/>
      <w:r w:rsidRPr="00E93759">
        <w:rPr>
          <w:rFonts w:ascii="Times New Roman" w:hAnsi="Times New Roman" w:cs="Times New Roman"/>
        </w:rPr>
        <w:t xml:space="preserve"> e Richard (1981) argumentam que demandas por redistribuição estão associadas à estrutura de renda da sociedade, o que leva partidos a ajustar suas plataformas de acordo com a composição social do eleitorado. Assim, propostas programáticas resultam da interação entre estratégias eleitorais e condições estruturais, e não apenas de posicionamentos ideológicos abstratos.</w:t>
      </w:r>
    </w:p>
    <w:p w14:paraId="10523B16" w14:textId="77777777" w:rsidR="00E1016C"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À medida que os partidos buscam ampliar sua base de apoio, a competição tende a deslocar-se da oposição ideológica direta para a disputa pela definição dos problemas prioritários da agenda pública. Offe (1984) observa que o Estado moderno opera sob pressões contraditórias de diferentes grupos sociais, sendo constantemente instado a responder a demandas por inclusão, segurança e bem-estar. Nesse contexto, campanhas eleitorais funcionam como mecanismos de seleção e hierarquização dessas demandas.</w:t>
      </w:r>
    </w:p>
    <w:p w14:paraId="24127D0F" w14:textId="77777777" w:rsidR="00E1016C"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lastRenderedPageBreak/>
        <w:t xml:space="preserve">O conceito de </w:t>
      </w:r>
      <w:proofErr w:type="spellStart"/>
      <w:r w:rsidRPr="00E93759">
        <w:rPr>
          <w:rFonts w:ascii="Times New Roman" w:hAnsi="Times New Roman" w:cs="Times New Roman"/>
          <w:i/>
          <w:iCs/>
        </w:rPr>
        <w:t>issue</w:t>
      </w:r>
      <w:proofErr w:type="spellEnd"/>
      <w:r w:rsidRPr="00E93759">
        <w:rPr>
          <w:rFonts w:ascii="Times New Roman" w:hAnsi="Times New Roman" w:cs="Times New Roman"/>
          <w:i/>
          <w:iCs/>
        </w:rPr>
        <w:t xml:space="preserve"> </w:t>
      </w:r>
      <w:proofErr w:type="spellStart"/>
      <w:r w:rsidRPr="00E93759">
        <w:rPr>
          <w:rFonts w:ascii="Times New Roman" w:hAnsi="Times New Roman" w:cs="Times New Roman"/>
          <w:i/>
          <w:iCs/>
        </w:rPr>
        <w:t>ownership</w:t>
      </w:r>
      <w:proofErr w:type="spellEnd"/>
      <w:r w:rsidRPr="00E93759">
        <w:rPr>
          <w:rFonts w:ascii="Times New Roman" w:hAnsi="Times New Roman" w:cs="Times New Roman"/>
        </w:rPr>
        <w:t xml:space="preserve">, sistematizado por </w:t>
      </w:r>
      <w:proofErr w:type="spellStart"/>
      <w:r w:rsidRPr="00E93759">
        <w:rPr>
          <w:rFonts w:ascii="Times New Roman" w:hAnsi="Times New Roman" w:cs="Times New Roman"/>
        </w:rPr>
        <w:t>Petrocik</w:t>
      </w:r>
      <w:proofErr w:type="spellEnd"/>
      <w:r w:rsidRPr="00E93759">
        <w:rPr>
          <w:rFonts w:ascii="Times New Roman" w:hAnsi="Times New Roman" w:cs="Times New Roman"/>
        </w:rPr>
        <w:t xml:space="preserve"> (1996), refere-se à forma como determinados partidos passam a ser socialmente reconhecidos como mais competentes para tratar de certos temas, em razão de sua trajetória histórica, de sua base social ou de sua imagem pública. Essa associação constitui um recurso simbólico relevante, pois orienta expectativas do eleitorado e estrutura a competição política em torno de áreas nas quais cada partido possui maior credibilidade.</w:t>
      </w:r>
    </w:p>
    <w:p w14:paraId="7893EFB3" w14:textId="59441625" w:rsidR="00AF663A"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Paralelamente, as campanhas operam por meio da saliência temática, isto é, pela priorização estratégica de determinados problemas em detrimento de outros. Robertson (1970) demonstrou que partidos não competem necessariamente defendendo posições opostas sobre os mesmos temas, mas selecionando aqueles que lhes são mais favoráveis ou socialmente relevantes. A disputa política envolve, portanto, tanto divergências programáticas quanto a definição do que será considerado importante no debate público.</w:t>
      </w:r>
    </w:p>
    <w:p w14:paraId="5E5F9A2A" w14:textId="77777777" w:rsidR="00AF663A"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Os Programas de Governo constituem a expressão formal desse processo. Neles, candidatos articulam propostas, diagnósticos e valores de modo a estabelecer conexões com demandas sociais específicas e ampliar sua capacidade de mobilização eleitoral. Ao fazê-lo, produzem narrativas sobre problemas coletivos e sobre o papel do Estado em sua solução, contribuindo para moldar expectativas sociais e percepções de legitimidade.</w:t>
      </w:r>
    </w:p>
    <w:p w14:paraId="0BC6BF3B" w14:textId="77777777" w:rsidR="00E1016C"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Em eleições majoritárias, especialmente em segundo turno, emerge uma tensão central: como preservar identidades políticas e vínculos com bases sociais específicas ao mesmo tempo em que se busca ampliar o apoio entre eleitores heterogêneos? A necessidade de construir maiorias eleitorais tende a favorecer movimentos de moderação programática, uma vez que a vitória depende da incorporação de segmentos diversos do eleitorado.</w:t>
      </w:r>
    </w:p>
    <w:p w14:paraId="0E27A232" w14:textId="77777777" w:rsidR="00E1016C"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A análise desses documentos permite compreender não apenas estratégias eleitorais, mas também formas de mediação entre Estado e sociedade no nível local. Ao examinar quais demandas são incorporadas, quais são marginalizadas e como se estruturam as prioridades programáticas, torna-se possível identificar padrões de disputa sociopolítica nas eleições municipais brasileiras contemporâneas.</w:t>
      </w:r>
    </w:p>
    <w:p w14:paraId="76AB91DC" w14:textId="3C546EB3" w:rsidR="00AF663A" w:rsidRPr="00E93759" w:rsidRDefault="00AF663A" w:rsidP="00E1016C">
      <w:pPr>
        <w:spacing w:after="0" w:line="360" w:lineRule="auto"/>
        <w:ind w:firstLine="360"/>
        <w:jc w:val="both"/>
        <w:rPr>
          <w:rFonts w:ascii="Times New Roman" w:hAnsi="Times New Roman" w:cs="Times New Roman"/>
        </w:rPr>
      </w:pPr>
      <w:r w:rsidRPr="00E93759">
        <w:rPr>
          <w:rFonts w:ascii="Times New Roman" w:hAnsi="Times New Roman" w:cs="Times New Roman"/>
        </w:rPr>
        <w:t>Na seção seguinte, será realizada uma breve abordagem sobre os sentidos contemporâneos das categorias de esquerda e direita no Brasil, especialmente no contexto eleitoral de 2024.</w:t>
      </w:r>
    </w:p>
    <w:p w14:paraId="3ECF87EB" w14:textId="77777777" w:rsidR="001A5AFA" w:rsidRPr="00E93759" w:rsidRDefault="001A5AFA" w:rsidP="001A5AFA">
      <w:pPr>
        <w:spacing w:after="0" w:line="360" w:lineRule="auto"/>
        <w:ind w:firstLine="360"/>
        <w:jc w:val="both"/>
        <w:rPr>
          <w:rFonts w:ascii="Times New Roman" w:hAnsi="Times New Roman" w:cs="Times New Roman"/>
        </w:rPr>
      </w:pPr>
    </w:p>
    <w:p w14:paraId="40B2B92F" w14:textId="407E0AEB" w:rsidR="00BB558B" w:rsidRPr="00E93759" w:rsidRDefault="00BB558B" w:rsidP="001C0260">
      <w:pPr>
        <w:pStyle w:val="PargrafodaLista"/>
        <w:numPr>
          <w:ilvl w:val="0"/>
          <w:numId w:val="9"/>
        </w:numPr>
        <w:spacing w:after="0" w:line="360" w:lineRule="auto"/>
        <w:jc w:val="both"/>
        <w:rPr>
          <w:rFonts w:ascii="Times New Roman" w:hAnsi="Times New Roman" w:cs="Times New Roman"/>
          <w:b/>
          <w:bCs/>
        </w:rPr>
      </w:pPr>
      <w:r w:rsidRPr="00E93759">
        <w:rPr>
          <w:rFonts w:ascii="Times New Roman" w:hAnsi="Times New Roman" w:cs="Times New Roman"/>
          <w:b/>
          <w:bCs/>
        </w:rPr>
        <w:t xml:space="preserve">Esquerda </w:t>
      </w:r>
      <w:r w:rsidR="00DD7B20" w:rsidRPr="00E93759">
        <w:rPr>
          <w:rFonts w:ascii="Times New Roman" w:hAnsi="Times New Roman" w:cs="Times New Roman"/>
          <w:b/>
          <w:bCs/>
        </w:rPr>
        <w:t xml:space="preserve">x </w:t>
      </w:r>
      <w:r w:rsidRPr="00E93759">
        <w:rPr>
          <w:rFonts w:ascii="Times New Roman" w:hAnsi="Times New Roman" w:cs="Times New Roman"/>
          <w:b/>
          <w:bCs/>
        </w:rPr>
        <w:t>Direita</w:t>
      </w:r>
    </w:p>
    <w:p w14:paraId="21AE5E65" w14:textId="77777777" w:rsidR="007C541C" w:rsidRPr="00E93759" w:rsidRDefault="007C541C" w:rsidP="007C541C">
      <w:pPr>
        <w:spacing w:after="0" w:line="360" w:lineRule="auto"/>
        <w:ind w:firstLine="360"/>
        <w:jc w:val="both"/>
        <w:rPr>
          <w:rFonts w:ascii="Times New Roman" w:hAnsi="Times New Roman" w:cs="Times New Roman"/>
        </w:rPr>
      </w:pPr>
      <w:r w:rsidRPr="00E93759">
        <w:rPr>
          <w:rFonts w:ascii="Times New Roman" w:hAnsi="Times New Roman" w:cs="Times New Roman"/>
        </w:rPr>
        <w:lastRenderedPageBreak/>
        <w:t>A distinção entre esquerda e direita, embora oriunda da geografia parlamentar da Revolução Francesa, consolidou-se como o eixo semântico fundamental da política moderna. Norberto Bobbio (2011) oferece o critério mais resiliente para essa distinção: a atitude diante da desigualdade. Para a esquerda, as desigualdades são majoritariamente sociais e corrigíveis pela ação política; para a direita, são naturais ou fruto do mérito individual, devendo a intervenção estatal ser mínima para não ferir a liberdade.</w:t>
      </w:r>
    </w:p>
    <w:p w14:paraId="41B60B07" w14:textId="4F692D02" w:rsidR="007C541C" w:rsidRPr="00E93759" w:rsidRDefault="007C541C" w:rsidP="007C541C">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Para complementar Bobbio e operacionalizar a análise de programas, recorre-se a Noël e </w:t>
      </w:r>
      <w:proofErr w:type="spellStart"/>
      <w:r w:rsidRPr="00E93759">
        <w:rPr>
          <w:rFonts w:ascii="Times New Roman" w:hAnsi="Times New Roman" w:cs="Times New Roman"/>
        </w:rPr>
        <w:t>Thérien</w:t>
      </w:r>
      <w:proofErr w:type="spellEnd"/>
      <w:r w:rsidRPr="00E93759">
        <w:rPr>
          <w:rFonts w:ascii="Times New Roman" w:hAnsi="Times New Roman" w:cs="Times New Roman"/>
        </w:rPr>
        <w:t xml:space="preserve"> (2008). Os autores sustentam que o conflito se organiza em torno de dois paradigmas. O primeiro diz respeito a esquerda, com foco na Justiça Social, onde </w:t>
      </w:r>
      <w:proofErr w:type="gramStart"/>
      <w:r w:rsidRPr="00E93759">
        <w:rPr>
          <w:rFonts w:ascii="Times New Roman" w:hAnsi="Times New Roman" w:cs="Times New Roman"/>
        </w:rPr>
        <w:t>o  Estado</w:t>
      </w:r>
      <w:proofErr w:type="gramEnd"/>
      <w:r w:rsidRPr="00E93759">
        <w:rPr>
          <w:rFonts w:ascii="Times New Roman" w:hAnsi="Times New Roman" w:cs="Times New Roman"/>
        </w:rPr>
        <w:t xml:space="preserve"> se torna provedor de bem-estar e garantidor de direitos universais. Já o segundo, da direita foca eficiência e competição, privilegia o mercado como alocador de recursos e o Estado como garantidor da ordem e da estabilidade econômica.</w:t>
      </w:r>
    </w:p>
    <w:p w14:paraId="6708E8FC" w14:textId="77777777" w:rsidR="00F10ADA" w:rsidRPr="00E93759" w:rsidRDefault="00F10ADA" w:rsidP="00F10ADA">
      <w:pPr>
        <w:spacing w:after="0" w:line="360" w:lineRule="auto"/>
        <w:ind w:firstLine="708"/>
        <w:jc w:val="both"/>
        <w:rPr>
          <w:rFonts w:ascii="Times New Roman" w:hAnsi="Times New Roman" w:cs="Times New Roman"/>
        </w:rPr>
      </w:pPr>
      <w:r w:rsidRPr="00E93759">
        <w:rPr>
          <w:rFonts w:ascii="Times New Roman" w:hAnsi="Times New Roman" w:cs="Times New Roman"/>
        </w:rPr>
        <w:t>Embora essas clivagens assumam configurações distintas em cada contexto histórico e nacional, a distinção entre esquerda e direita permanece relevante como eixo estruturador da competição política. Bobbio (2011) sustenta que o critério fundamental para diferenciar essas posições reside na atitude diante da desigualdade social. Segundo o autor, a esquerda caracteriza-se por considerar as desigualdades como socialmente produzidas e, portanto, passíveis de correção por meio da ação política, especialmente estatal. A direita, por sua vez, tende a aceitar a desigualdade como natural, inevitável ou funcional, enfatizando a liberdade individual, o mérito e a limitação da intervenção estatal.</w:t>
      </w:r>
    </w:p>
    <w:p w14:paraId="1337DFF0" w14:textId="77777777" w:rsidR="00F10ADA" w:rsidRPr="00E93759" w:rsidRDefault="00F10ADA" w:rsidP="00F10ADA">
      <w:pPr>
        <w:spacing w:after="0" w:line="360" w:lineRule="auto"/>
        <w:ind w:firstLine="708"/>
        <w:jc w:val="both"/>
        <w:rPr>
          <w:rFonts w:ascii="Times New Roman" w:hAnsi="Times New Roman" w:cs="Times New Roman"/>
        </w:rPr>
      </w:pPr>
      <w:r w:rsidRPr="00E93759">
        <w:rPr>
          <w:rFonts w:ascii="Times New Roman" w:hAnsi="Times New Roman" w:cs="Times New Roman"/>
        </w:rPr>
        <w:t>Essa definição permite operacionalizar a distinção entre esquerda e direita de forma comparável e empiricamente observável, especialmente na análise de políticas públicas. Propostas voltadas à redistribuição de renda, expansão de direitos sociais e fortalecimento da provisão estatal tendem a associar-se a posições mais à esquerda, enquanto propostas que enfatizam mercado, responsabilidade individual e redução do papel do Estado aproximam-se de posições à direita.</w:t>
      </w:r>
    </w:p>
    <w:p w14:paraId="1A096EB5" w14:textId="77777777" w:rsidR="007C541C" w:rsidRPr="00E93759" w:rsidRDefault="007C541C" w:rsidP="007C541C">
      <w:pPr>
        <w:spacing w:after="0" w:line="360" w:lineRule="auto"/>
        <w:ind w:firstLine="360"/>
        <w:jc w:val="both"/>
        <w:rPr>
          <w:rFonts w:ascii="Times New Roman" w:hAnsi="Times New Roman" w:cs="Times New Roman"/>
        </w:rPr>
      </w:pPr>
      <w:r w:rsidRPr="00E93759">
        <w:rPr>
          <w:rFonts w:ascii="Times New Roman" w:hAnsi="Times New Roman" w:cs="Times New Roman"/>
        </w:rPr>
        <w:t>No Brasil, essa clivagem foi tensionada pela ascensão da "nova direita" (Power &amp; Zucco, 2012), que combina o liberalismo econômico com um conservadorismo moral. Assim, a análise dos Programas de Governo de 2018 e 2022 permite observar como essas matrizes teóricas são adaptadas à busca pelo eleitor mediano, muitas vezes diluindo radicalismos em favor de uma governabilidade antecipada.</w:t>
      </w:r>
    </w:p>
    <w:p w14:paraId="29AAC733" w14:textId="77777777" w:rsidR="00F10ADA" w:rsidRPr="00E93759" w:rsidRDefault="00F10ADA" w:rsidP="00F10ADA">
      <w:pPr>
        <w:spacing w:after="0" w:line="360" w:lineRule="auto"/>
        <w:ind w:firstLine="708"/>
        <w:jc w:val="both"/>
        <w:rPr>
          <w:rFonts w:ascii="Times New Roman" w:hAnsi="Times New Roman" w:cs="Times New Roman"/>
        </w:rPr>
      </w:pPr>
      <w:r w:rsidRPr="00E93759">
        <w:rPr>
          <w:rFonts w:ascii="Times New Roman" w:hAnsi="Times New Roman" w:cs="Times New Roman"/>
        </w:rPr>
        <w:t xml:space="preserve">No contexto contemporâneo brasileiro, pesquisas de opinião indicam que uma parcela significativa do eleitorado não se identifica claramente com as categorias </w:t>
      </w:r>
      <w:r w:rsidRPr="00E93759">
        <w:rPr>
          <w:rFonts w:ascii="Times New Roman" w:hAnsi="Times New Roman" w:cs="Times New Roman"/>
        </w:rPr>
        <w:lastRenderedPageBreak/>
        <w:t>ideológicas tradicionais. Dados do DataSenado (2024) mostram que, embora parte dos eleitores se declare de direita, esquerda ou centro, um contingente expressivo afirma não se posicionar politicamente.</w:t>
      </w:r>
    </w:p>
    <w:p w14:paraId="1701C237" w14:textId="30BFAE76" w:rsidR="00F10ADA" w:rsidRPr="00E93759" w:rsidRDefault="00F10ADA" w:rsidP="00F10ADA">
      <w:pPr>
        <w:spacing w:after="0" w:line="360" w:lineRule="auto"/>
        <w:ind w:firstLine="708"/>
        <w:jc w:val="both"/>
        <w:rPr>
          <w:rFonts w:ascii="Times New Roman" w:hAnsi="Times New Roman" w:cs="Times New Roman"/>
        </w:rPr>
      </w:pPr>
      <w:r w:rsidRPr="00E93759">
        <w:rPr>
          <w:rFonts w:ascii="Times New Roman" w:hAnsi="Times New Roman" w:cs="Times New Roman"/>
        </w:rPr>
        <w:t xml:space="preserve">Estudos recentes conduzidos pela </w:t>
      </w:r>
      <w:proofErr w:type="spellStart"/>
      <w:r w:rsidRPr="00E93759">
        <w:rPr>
          <w:rFonts w:ascii="Times New Roman" w:hAnsi="Times New Roman" w:cs="Times New Roman"/>
          <w:i/>
          <w:iCs/>
        </w:rPr>
        <w:t>Quaest</w:t>
      </w:r>
      <w:proofErr w:type="spellEnd"/>
      <w:r w:rsidRPr="00E93759">
        <w:rPr>
          <w:rFonts w:ascii="Times New Roman" w:hAnsi="Times New Roman" w:cs="Times New Roman"/>
        </w:rPr>
        <w:t xml:space="preserve">, divulgados na série </w:t>
      </w:r>
      <w:r w:rsidRPr="00E93759">
        <w:rPr>
          <w:rFonts w:ascii="Times New Roman" w:hAnsi="Times New Roman" w:cs="Times New Roman"/>
          <w:i/>
          <w:iCs/>
        </w:rPr>
        <w:t>Brasil no Espelho</w:t>
      </w:r>
      <w:r w:rsidRPr="00E93759">
        <w:rPr>
          <w:rFonts w:ascii="Times New Roman" w:hAnsi="Times New Roman" w:cs="Times New Roman"/>
        </w:rPr>
        <w:t xml:space="preserve"> (Nunes, 202</w:t>
      </w:r>
      <w:r w:rsidR="007C541C" w:rsidRPr="00E93759">
        <w:rPr>
          <w:rFonts w:ascii="Times New Roman" w:hAnsi="Times New Roman" w:cs="Times New Roman"/>
        </w:rPr>
        <w:t>5</w:t>
      </w:r>
      <w:r w:rsidRPr="00E93759">
        <w:rPr>
          <w:rFonts w:ascii="Times New Roman" w:hAnsi="Times New Roman" w:cs="Times New Roman"/>
        </w:rPr>
        <w:t xml:space="preserve">), reforçam esse diagnóstico ao evidenciar a presença de atitudes políticas ambivalentes, nas quais indivíduos combinam posições consideradas simultaneamente “de esquerda” e “de direita” dependendo do tema analisado. Esse quadro sugere que a competição eleitoral ocorre em um ambiente de identidades políticas difusas e pouco estruturadas, no qual propostas programáticas precisam dialogar com públicos amplos e heterogêneos, especialmente em eleições </w:t>
      </w:r>
      <w:r w:rsidR="00E93759" w:rsidRPr="00E93759">
        <w:rPr>
          <w:rFonts w:ascii="Times New Roman" w:hAnsi="Times New Roman" w:cs="Times New Roman"/>
        </w:rPr>
        <w:t xml:space="preserve">do executivo, </w:t>
      </w:r>
      <w:r w:rsidRPr="00E93759">
        <w:rPr>
          <w:rFonts w:ascii="Times New Roman" w:hAnsi="Times New Roman" w:cs="Times New Roman"/>
        </w:rPr>
        <w:t>orientadas por demandas concretas de políticas públicas.</w:t>
      </w:r>
    </w:p>
    <w:p w14:paraId="13B10F92" w14:textId="77777777" w:rsidR="00F10ADA" w:rsidRPr="00E93759" w:rsidRDefault="00F10ADA" w:rsidP="00F10ADA">
      <w:pPr>
        <w:spacing w:after="0" w:line="360" w:lineRule="auto"/>
        <w:ind w:firstLine="708"/>
        <w:jc w:val="both"/>
        <w:rPr>
          <w:rFonts w:ascii="Times New Roman" w:hAnsi="Times New Roman" w:cs="Times New Roman"/>
        </w:rPr>
      </w:pPr>
      <w:r w:rsidRPr="00E93759">
        <w:rPr>
          <w:rFonts w:ascii="Times New Roman" w:hAnsi="Times New Roman" w:cs="Times New Roman"/>
        </w:rPr>
        <w:t>Desse modo, embora a identificação ideológica do eleitorado possa ser limitada ou ambígua, a distinção entre esquerda e direita permanece útil como ferramenta analítica para compreender a competição política e a formulação programática. Os Programas de Governo constituem, nesse sentido, instrumentos privilegiados para observar como diferentes projetos políticos interpretam problemas sociais e propõem soluções, revelando concepções divergentes sobre igualdade, liberdade e responsabilidade estatal.</w:t>
      </w:r>
    </w:p>
    <w:p w14:paraId="5C6062E2" w14:textId="350AB7B3" w:rsidR="00741EA7" w:rsidRPr="00E93759" w:rsidRDefault="00F10ADA" w:rsidP="00F10ADA">
      <w:pPr>
        <w:spacing w:after="0" w:line="360" w:lineRule="auto"/>
        <w:ind w:firstLine="708"/>
        <w:jc w:val="both"/>
        <w:rPr>
          <w:rFonts w:ascii="Times New Roman" w:hAnsi="Times New Roman" w:cs="Times New Roman"/>
        </w:rPr>
      </w:pPr>
      <w:r w:rsidRPr="00E93759">
        <w:rPr>
          <w:rFonts w:ascii="Times New Roman" w:hAnsi="Times New Roman" w:cs="Times New Roman"/>
        </w:rPr>
        <w:t>Essa abordagem fornece a base conceitual necessária para a seção seguinte, na qual delimitamos o problema de pesquisa e o método adotado para analisar comparativamente os Programas de Governo nas eleições municipais de 2024.</w:t>
      </w:r>
      <w:r w:rsidR="00E93759" w:rsidRPr="00E93759">
        <w:rPr>
          <w:rFonts w:ascii="Times New Roman" w:hAnsi="Times New Roman" w:cs="Times New Roman"/>
        </w:rPr>
        <w:t xml:space="preserve"> </w:t>
      </w:r>
    </w:p>
    <w:p w14:paraId="3BC11258" w14:textId="77777777" w:rsidR="00F10ADA" w:rsidRPr="00E93759" w:rsidRDefault="00F10ADA" w:rsidP="00F10ADA">
      <w:pPr>
        <w:spacing w:after="0" w:line="360" w:lineRule="auto"/>
        <w:jc w:val="both"/>
        <w:rPr>
          <w:rFonts w:ascii="Times New Roman" w:hAnsi="Times New Roman" w:cs="Times New Roman"/>
          <w:b/>
          <w:bCs/>
        </w:rPr>
      </w:pPr>
    </w:p>
    <w:p w14:paraId="027CE5D1" w14:textId="5B2959A1" w:rsidR="00A13018" w:rsidRPr="00E93759" w:rsidRDefault="00DD7B20" w:rsidP="00A13018">
      <w:pPr>
        <w:spacing w:after="0" w:line="360" w:lineRule="auto"/>
        <w:jc w:val="both"/>
        <w:rPr>
          <w:rFonts w:ascii="Times New Roman" w:hAnsi="Times New Roman" w:cs="Times New Roman"/>
          <w:b/>
          <w:bCs/>
        </w:rPr>
      </w:pPr>
      <w:r w:rsidRPr="00E93759">
        <w:rPr>
          <w:rFonts w:ascii="Times New Roman" w:hAnsi="Times New Roman" w:cs="Times New Roman"/>
          <w:b/>
          <w:bCs/>
        </w:rPr>
        <w:t>4</w:t>
      </w:r>
      <w:r w:rsidR="00A13018" w:rsidRPr="00E93759">
        <w:rPr>
          <w:rFonts w:ascii="Times New Roman" w:hAnsi="Times New Roman" w:cs="Times New Roman"/>
          <w:b/>
          <w:bCs/>
        </w:rPr>
        <w:t xml:space="preserve">.Problema de pesquisa e metodologia </w:t>
      </w:r>
    </w:p>
    <w:p w14:paraId="34C1E4CF" w14:textId="77777777" w:rsidR="007C541C" w:rsidRPr="00E93759" w:rsidRDefault="007C541C" w:rsidP="007C541C">
      <w:pPr>
        <w:spacing w:after="0" w:line="360" w:lineRule="auto"/>
        <w:ind w:firstLine="360"/>
        <w:jc w:val="both"/>
        <w:rPr>
          <w:rFonts w:ascii="Times New Roman" w:hAnsi="Times New Roman" w:cs="Times New Roman"/>
        </w:rPr>
      </w:pPr>
      <w:r w:rsidRPr="00E93759">
        <w:rPr>
          <w:rFonts w:ascii="Times New Roman" w:hAnsi="Times New Roman" w:cs="Times New Roman"/>
        </w:rPr>
        <w:t>O objeto de estudo são os Programas de Governo registrados no TSE pelos candidatos ao segundo turno em 2018 e 2022. O foco recai sobre três eixos centrais que sintetizam a visão de Estado: Economia, Educação e Segurança Pública.</w:t>
      </w:r>
    </w:p>
    <w:p w14:paraId="0107BEEA" w14:textId="281BD5AA" w:rsidR="007C541C" w:rsidRPr="00E93759" w:rsidRDefault="007C541C" w:rsidP="007C541C">
      <w:pPr>
        <w:spacing w:after="0" w:line="360" w:lineRule="auto"/>
        <w:ind w:firstLine="360"/>
        <w:jc w:val="both"/>
        <w:rPr>
          <w:rFonts w:ascii="Times New Roman" w:hAnsi="Times New Roman" w:cs="Times New Roman"/>
        </w:rPr>
      </w:pPr>
      <w:r w:rsidRPr="00E93759">
        <w:rPr>
          <w:rFonts w:ascii="Times New Roman" w:hAnsi="Times New Roman" w:cs="Times New Roman"/>
        </w:rPr>
        <w:t>Adota-se uma análise documental qualitativa-quantitativa, classificando as propostas em um continuum ideológico de –2 (Esquerda) a +2 (Direita). A pontuação final de cada programa (variando de -6 a +6) indicará sua inclinação relativa.</w:t>
      </w:r>
    </w:p>
    <w:tbl>
      <w:tblPr>
        <w:tblW w:w="0" w:type="auto"/>
        <w:tblCellSpacing w:w="15" w:type="dxa"/>
        <w:tblCellMar>
          <w:left w:w="0" w:type="dxa"/>
          <w:right w:w="0" w:type="dxa"/>
        </w:tblCellMar>
        <w:tblLook w:val="04A0" w:firstRow="1" w:lastRow="0" w:firstColumn="1" w:lastColumn="0" w:noHBand="0" w:noVBand="1"/>
      </w:tblPr>
      <w:tblGrid>
        <w:gridCol w:w="1017"/>
        <w:gridCol w:w="1444"/>
        <w:gridCol w:w="1264"/>
        <w:gridCol w:w="1656"/>
        <w:gridCol w:w="1697"/>
        <w:gridCol w:w="1410"/>
      </w:tblGrid>
      <w:tr w:rsidR="00A00EF8" w:rsidRPr="00E93759" w14:paraId="358F168B"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63A9216" w14:textId="77777777" w:rsidR="007C541C" w:rsidRPr="007C541C" w:rsidRDefault="007C541C" w:rsidP="007C541C">
            <w:pPr>
              <w:spacing w:after="0" w:line="360" w:lineRule="auto"/>
              <w:ind w:firstLine="360"/>
              <w:jc w:val="center"/>
              <w:rPr>
                <w:rFonts w:ascii="Times New Roman" w:hAnsi="Times New Roman" w:cs="Times New Roman"/>
              </w:rPr>
            </w:pPr>
            <w:r w:rsidRPr="007C541C">
              <w:rPr>
                <w:rFonts w:ascii="Times New Roman" w:hAnsi="Times New Roman" w:cs="Times New Roman"/>
                <w:b/>
                <w:bCs/>
              </w:rPr>
              <w:lastRenderedPageBreak/>
              <w:t>Eixo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002FF81" w14:textId="77777777" w:rsidR="007C541C" w:rsidRPr="007C541C" w:rsidRDefault="007C541C" w:rsidP="007C541C">
            <w:pPr>
              <w:spacing w:after="0" w:line="360" w:lineRule="auto"/>
              <w:ind w:firstLine="360"/>
              <w:jc w:val="center"/>
              <w:rPr>
                <w:rFonts w:ascii="Times New Roman" w:hAnsi="Times New Roman" w:cs="Times New Roman"/>
              </w:rPr>
            </w:pPr>
            <w:r w:rsidRPr="007C541C">
              <w:rPr>
                <w:rFonts w:ascii="Times New Roman" w:hAnsi="Times New Roman" w:cs="Times New Roman"/>
                <w:b/>
                <w:bCs/>
              </w:rPr>
              <w:t>-2 (Esquerda)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E10C377" w14:textId="77777777" w:rsidR="007C541C" w:rsidRPr="007C541C" w:rsidRDefault="007C541C" w:rsidP="007C541C">
            <w:pPr>
              <w:spacing w:after="0" w:line="360" w:lineRule="auto"/>
              <w:ind w:firstLine="360"/>
              <w:jc w:val="center"/>
              <w:rPr>
                <w:rFonts w:ascii="Times New Roman" w:hAnsi="Times New Roman" w:cs="Times New Roman"/>
              </w:rPr>
            </w:pPr>
            <w:r w:rsidRPr="007C541C">
              <w:rPr>
                <w:rFonts w:ascii="Times New Roman" w:hAnsi="Times New Roman" w:cs="Times New Roman"/>
                <w:b/>
                <w:bCs/>
              </w:rPr>
              <w:t>-1 (Centro-Esquerda)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42790A2" w14:textId="77777777" w:rsidR="007C541C" w:rsidRPr="007C541C" w:rsidRDefault="007C541C" w:rsidP="007C541C">
            <w:pPr>
              <w:spacing w:after="0" w:line="360" w:lineRule="auto"/>
              <w:ind w:firstLine="360"/>
              <w:jc w:val="center"/>
              <w:rPr>
                <w:rFonts w:ascii="Times New Roman" w:hAnsi="Times New Roman" w:cs="Times New Roman"/>
              </w:rPr>
            </w:pPr>
            <w:r w:rsidRPr="007C541C">
              <w:rPr>
                <w:rFonts w:ascii="Times New Roman" w:hAnsi="Times New Roman" w:cs="Times New Roman"/>
                <w:b/>
                <w:bCs/>
              </w:rPr>
              <w:t>0 (Centro/Moderado)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CE47FFA" w14:textId="77777777" w:rsidR="007C541C" w:rsidRPr="007C541C" w:rsidRDefault="007C541C" w:rsidP="007C541C">
            <w:pPr>
              <w:spacing w:after="0" w:line="360" w:lineRule="auto"/>
              <w:ind w:firstLine="360"/>
              <w:jc w:val="center"/>
              <w:rPr>
                <w:rFonts w:ascii="Times New Roman" w:hAnsi="Times New Roman" w:cs="Times New Roman"/>
              </w:rPr>
            </w:pPr>
            <w:r w:rsidRPr="007C541C">
              <w:rPr>
                <w:rFonts w:ascii="Times New Roman" w:hAnsi="Times New Roman" w:cs="Times New Roman"/>
                <w:b/>
                <w:bCs/>
              </w:rPr>
              <w:t>1 (Centro-Direita)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50E6D98" w14:textId="77777777" w:rsidR="007C541C" w:rsidRPr="007C541C" w:rsidRDefault="007C541C" w:rsidP="007C541C">
            <w:pPr>
              <w:spacing w:after="0" w:line="360" w:lineRule="auto"/>
              <w:ind w:firstLine="360"/>
              <w:jc w:val="center"/>
              <w:rPr>
                <w:rFonts w:ascii="Times New Roman" w:hAnsi="Times New Roman" w:cs="Times New Roman"/>
              </w:rPr>
            </w:pPr>
            <w:r w:rsidRPr="007C541C">
              <w:rPr>
                <w:rFonts w:ascii="Times New Roman" w:hAnsi="Times New Roman" w:cs="Times New Roman"/>
                <w:b/>
                <w:bCs/>
              </w:rPr>
              <w:t>2 (Direita)</w:t>
            </w:r>
          </w:p>
        </w:tc>
      </w:tr>
      <w:tr w:rsidR="00A00EF8" w:rsidRPr="00E93759" w14:paraId="65146415"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D60A06C" w14:textId="77777777" w:rsidR="007C541C" w:rsidRPr="007C541C" w:rsidRDefault="007C541C" w:rsidP="00A00EF8">
            <w:pPr>
              <w:spacing w:after="0" w:line="360" w:lineRule="auto"/>
              <w:rPr>
                <w:rFonts w:ascii="Times New Roman" w:hAnsi="Times New Roman" w:cs="Times New Roman"/>
              </w:rPr>
            </w:pPr>
            <w:r w:rsidRPr="007C541C">
              <w:rPr>
                <w:rFonts w:ascii="Times New Roman" w:hAnsi="Times New Roman" w:cs="Times New Roman"/>
                <w:b/>
                <w:bCs/>
              </w:rPr>
              <w:t>Economia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EF7257B"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Estado como motor do desenvolvimento; estatizações; quebra de tetos fiscais; foco em distribuição.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A6595C8"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Papel indutor do Estado; parcerias público-privadas sob forte regulação; foco em emprego.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62FF90A"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Equilíbrio fiscal pragmático; manutenção da estrutura econômica atual sem grandes rupturas.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971D73D"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Foco em austeridade; concessões ao setor privado; reformas administrativas para eficiência.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7F5B1A7F"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Privatizações amplas; Estado mínimo; desregulação total; foco exclusivo na eficiência de mercado.</w:t>
            </w:r>
          </w:p>
        </w:tc>
      </w:tr>
      <w:tr w:rsidR="00A00EF8" w:rsidRPr="00E93759" w14:paraId="71D8F1B0"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A5073D6"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b/>
                <w:bCs/>
              </w:rPr>
              <w:t>Educação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B78BC65"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Ensino público direto e universal; foco em cotas e inclusão; combate a privatizações e vouchers.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1E05EDC"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Fortalecimento da rede pública com parcerias pontuais; foco em qualidade e permanência escolar.</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7A3F48A"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Gestão eficiente da rede atual; foco em índices de desempenho (IDEB) sem mudar o modelo.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7E92B13"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Incentivo ao setor privado/conveniados; sistemas de vouchers ou parcerias de gestão.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72642AE"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Desestatização da oferta; foco em eficiência gerencial; neutralidade ideológica (Escola sem Partido).</w:t>
            </w:r>
          </w:p>
        </w:tc>
      </w:tr>
      <w:tr w:rsidR="00A00EF8" w:rsidRPr="00E93759" w14:paraId="5E3A0F8D"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ABCDD08"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b/>
                <w:bCs/>
              </w:rPr>
              <w:lastRenderedPageBreak/>
              <w:t>Segurança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A784B8F"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Foco em causas sociais do crime; desmilitarização; direitos humanos; prevenção comunitária.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3F763A5"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Inteligência policial somada à prevenção social; fortalecimento institucional das polícias.</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4B6A1B6"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Ajustes operacionais; foco em tecnologia e manutenção do sistema atual de policiamento.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D6684C2"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Fortalecimento do policiamento ostensivo; leis mais rigorosas; ampliação do sistema prisional.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30FFBE73" w14:textId="77777777" w:rsidR="007C541C" w:rsidRPr="007C541C" w:rsidRDefault="007C541C" w:rsidP="00A00EF8">
            <w:pPr>
              <w:spacing w:after="0" w:line="360" w:lineRule="auto"/>
              <w:jc w:val="both"/>
              <w:rPr>
                <w:rFonts w:ascii="Times New Roman" w:hAnsi="Times New Roman" w:cs="Times New Roman"/>
              </w:rPr>
            </w:pPr>
            <w:r w:rsidRPr="007C541C">
              <w:rPr>
                <w:rFonts w:ascii="Times New Roman" w:hAnsi="Times New Roman" w:cs="Times New Roman"/>
              </w:rPr>
              <w:t>Abordagem repressiva/punitiva; flexibilização de armas; militarização de instituições; "Lei e Ordem".</w:t>
            </w:r>
          </w:p>
        </w:tc>
      </w:tr>
    </w:tbl>
    <w:p w14:paraId="19E26CC5" w14:textId="77777777" w:rsidR="007C541C" w:rsidRPr="00E93759" w:rsidRDefault="007C541C" w:rsidP="007C541C">
      <w:pPr>
        <w:spacing w:after="0" w:line="360" w:lineRule="auto"/>
        <w:ind w:firstLine="360"/>
        <w:jc w:val="both"/>
        <w:rPr>
          <w:rFonts w:ascii="Times New Roman" w:hAnsi="Times New Roman" w:cs="Times New Roman"/>
        </w:rPr>
      </w:pPr>
    </w:p>
    <w:p w14:paraId="57C9E3CC" w14:textId="578F0299" w:rsidR="007C541C" w:rsidRPr="00E93759" w:rsidRDefault="00A00EF8" w:rsidP="00B80193">
      <w:pPr>
        <w:spacing w:after="0" w:line="360" w:lineRule="auto"/>
        <w:ind w:firstLine="360"/>
        <w:jc w:val="both"/>
        <w:rPr>
          <w:rFonts w:ascii="Times New Roman" w:hAnsi="Times New Roman" w:cs="Times New Roman"/>
        </w:rPr>
      </w:pPr>
      <w:r w:rsidRPr="00E93759">
        <w:rPr>
          <w:rFonts w:ascii="Times New Roman" w:hAnsi="Times New Roman" w:cs="Times New Roman"/>
        </w:rPr>
        <w:t>Para chegar ao resultado que sustenta sua hipótese de "moderação programática", utilize a soma dos três eixos:</w:t>
      </w:r>
    </w:p>
    <w:tbl>
      <w:tblPr>
        <w:tblW w:w="0" w:type="auto"/>
        <w:jc w:val="center"/>
        <w:tblCellSpacing w:w="15" w:type="dxa"/>
        <w:tblCellMar>
          <w:left w:w="0" w:type="dxa"/>
          <w:right w:w="0" w:type="dxa"/>
        </w:tblCellMar>
        <w:tblLook w:val="04A0" w:firstRow="1" w:lastRow="0" w:firstColumn="1" w:lastColumn="0" w:noHBand="0" w:noVBand="1"/>
      </w:tblPr>
      <w:tblGrid>
        <w:gridCol w:w="1782"/>
        <w:gridCol w:w="4252"/>
      </w:tblGrid>
      <w:tr w:rsidR="00A00EF8" w:rsidRPr="00A00EF8" w14:paraId="48FC6A19" w14:textId="77777777" w:rsidTr="00A00EF8">
        <w:trPr>
          <w:tblHeade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262E3C5D" w14:textId="77777777"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b/>
                <w:bCs/>
              </w:rPr>
              <w:t>Soma Final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6CE721B" w14:textId="77777777"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b/>
                <w:bCs/>
              </w:rPr>
              <w:t>Classificação Ideológica</w:t>
            </w:r>
          </w:p>
        </w:tc>
      </w:tr>
      <w:tr w:rsidR="00A00EF8" w:rsidRPr="00A00EF8" w14:paraId="5B61116B" w14:textId="77777777" w:rsidTr="00A00EF8">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67F1754" w14:textId="77777777"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b/>
                <w:bCs/>
              </w:rPr>
              <w:t>-6 a -4</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24AEA79E" w14:textId="66FD0AD1"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rPr>
              <w:t>Esquerda Substantiva</w:t>
            </w:r>
            <w:r w:rsidRPr="00E93759">
              <w:rPr>
                <w:rFonts w:ascii="Times New Roman" w:hAnsi="Times New Roman" w:cs="Times New Roman"/>
              </w:rPr>
              <w:t xml:space="preserve"> (extrema)</w:t>
            </w:r>
          </w:p>
        </w:tc>
      </w:tr>
      <w:tr w:rsidR="00A00EF8" w:rsidRPr="00A00EF8" w14:paraId="2E08A5FB" w14:textId="77777777" w:rsidTr="00A00EF8">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5E6187A" w14:textId="77777777"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b/>
                <w:bCs/>
              </w:rPr>
              <w:t>-3 a -2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745DBA8" w14:textId="77777777"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rPr>
              <w:t>Esquerda Moderada / Centro-Esquerda</w:t>
            </w:r>
          </w:p>
        </w:tc>
      </w:tr>
      <w:tr w:rsidR="00A00EF8" w:rsidRPr="00A00EF8" w14:paraId="3152BC8D" w14:textId="77777777" w:rsidTr="00A00EF8">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CD461E2" w14:textId="77777777"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b/>
                <w:bCs/>
              </w:rPr>
              <w:t>-1 a +1</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ABBCA75" w14:textId="77777777"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b/>
                <w:bCs/>
              </w:rPr>
              <w:t>Centro (Convergência Programática)</w:t>
            </w:r>
          </w:p>
        </w:tc>
      </w:tr>
      <w:tr w:rsidR="00A00EF8" w:rsidRPr="00A00EF8" w14:paraId="13B73C3C" w14:textId="77777777" w:rsidTr="00A00EF8">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E184317" w14:textId="77777777"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b/>
                <w:bCs/>
              </w:rPr>
              <w:t>+2 a +3</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13D2A957" w14:textId="77777777"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rPr>
              <w:t>Direita Moderada / Centro-Direita</w:t>
            </w:r>
          </w:p>
        </w:tc>
      </w:tr>
      <w:tr w:rsidR="00A00EF8" w:rsidRPr="00A00EF8" w14:paraId="5DB9A4ED" w14:textId="77777777" w:rsidTr="00A00EF8">
        <w:trPr>
          <w:tblCellSpacing w:w="15" w:type="dxa"/>
          <w:jc w:val="center"/>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78E842A" w14:textId="77777777"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b/>
                <w:bCs/>
              </w:rPr>
              <w:lastRenderedPageBreak/>
              <w:t>+4 a +6</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31712C34" w14:textId="28661178" w:rsidR="00A00EF8" w:rsidRPr="00A00EF8" w:rsidRDefault="00A00EF8" w:rsidP="00A00EF8">
            <w:pPr>
              <w:spacing w:after="0" w:line="360" w:lineRule="auto"/>
              <w:ind w:firstLine="360"/>
              <w:jc w:val="center"/>
              <w:rPr>
                <w:rFonts w:ascii="Times New Roman" w:hAnsi="Times New Roman" w:cs="Times New Roman"/>
              </w:rPr>
            </w:pPr>
            <w:r w:rsidRPr="00A00EF8">
              <w:rPr>
                <w:rFonts w:ascii="Times New Roman" w:hAnsi="Times New Roman" w:cs="Times New Roman"/>
              </w:rPr>
              <w:t>Direita Substantiva</w:t>
            </w:r>
            <w:r w:rsidRPr="00E93759">
              <w:rPr>
                <w:rFonts w:ascii="Times New Roman" w:hAnsi="Times New Roman" w:cs="Times New Roman"/>
              </w:rPr>
              <w:t xml:space="preserve"> (extrema)</w:t>
            </w:r>
          </w:p>
        </w:tc>
      </w:tr>
    </w:tbl>
    <w:p w14:paraId="1BC1775F" w14:textId="77777777" w:rsidR="00A00EF8" w:rsidRPr="00E93759" w:rsidRDefault="00A00EF8" w:rsidP="00B80193">
      <w:pPr>
        <w:spacing w:after="0" w:line="360" w:lineRule="auto"/>
        <w:ind w:firstLine="360"/>
        <w:jc w:val="both"/>
        <w:rPr>
          <w:rFonts w:ascii="Times New Roman" w:hAnsi="Times New Roman" w:cs="Times New Roman"/>
        </w:rPr>
      </w:pPr>
    </w:p>
    <w:p w14:paraId="7A7FDC6E" w14:textId="1CD59ACB" w:rsidR="00B80193" w:rsidRPr="00E93759" w:rsidRDefault="00B80193" w:rsidP="00B80193">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No Brasil, a apresentação </w:t>
      </w:r>
      <w:r w:rsidR="00A00EF8" w:rsidRPr="00E93759">
        <w:rPr>
          <w:rFonts w:ascii="Times New Roman" w:hAnsi="Times New Roman" w:cs="Times New Roman"/>
        </w:rPr>
        <w:t xml:space="preserve">do Plano de Governo </w:t>
      </w:r>
      <w:r w:rsidRPr="00E93759">
        <w:rPr>
          <w:rFonts w:ascii="Times New Roman" w:hAnsi="Times New Roman" w:cs="Times New Roman"/>
        </w:rPr>
        <w:t xml:space="preserve">é legalmente obrigatória para todos os candidatos </w:t>
      </w:r>
      <w:r w:rsidR="00A00EF8" w:rsidRPr="00E93759">
        <w:rPr>
          <w:rFonts w:ascii="Times New Roman" w:hAnsi="Times New Roman" w:cs="Times New Roman"/>
        </w:rPr>
        <w:t>ao executivo</w:t>
      </w:r>
      <w:r w:rsidRPr="00E93759">
        <w:rPr>
          <w:rFonts w:ascii="Times New Roman" w:hAnsi="Times New Roman" w:cs="Times New Roman"/>
        </w:rPr>
        <w:t xml:space="preserve"> e constitui parte integrante do processo eleitoral. Embora não exista padronização quanto ao conteúdo ou à extensão dos planos, eles representam compromissos programáticos oficiais, nos quais candidatos explicitam diagnósticos, prioridades e propostas de ação governamental. Por esse motivo, configuram uma fonte privilegiada para a análise comparativa de orientações ideológicas e programáticas.</w:t>
      </w:r>
    </w:p>
    <w:p w14:paraId="1638519D" w14:textId="77777777" w:rsidR="00B80193" w:rsidRPr="00E93759" w:rsidRDefault="00B80193" w:rsidP="00B80193">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O objetivo central é verificar se os Planos de Governo expressam posições ideológicas polarizadas ou se convergem para propostas mais moderadas, próximas ao centro do espectro político, em consonância com a hipótese do eleitor mediano. Busca-se também identificar temas recorrentes entre candidaturas, bem como padrões de saliência e possíveis estratégias de </w:t>
      </w:r>
      <w:proofErr w:type="spellStart"/>
      <w:r w:rsidRPr="00E93759">
        <w:rPr>
          <w:rFonts w:ascii="Times New Roman" w:hAnsi="Times New Roman" w:cs="Times New Roman"/>
          <w:i/>
          <w:iCs/>
        </w:rPr>
        <w:t>issue</w:t>
      </w:r>
      <w:proofErr w:type="spellEnd"/>
      <w:r w:rsidRPr="00E93759">
        <w:rPr>
          <w:rFonts w:ascii="Times New Roman" w:hAnsi="Times New Roman" w:cs="Times New Roman"/>
          <w:i/>
          <w:iCs/>
        </w:rPr>
        <w:t xml:space="preserve"> </w:t>
      </w:r>
      <w:proofErr w:type="spellStart"/>
      <w:r w:rsidRPr="00E93759">
        <w:rPr>
          <w:rFonts w:ascii="Times New Roman" w:hAnsi="Times New Roman" w:cs="Times New Roman"/>
          <w:i/>
          <w:iCs/>
        </w:rPr>
        <w:t>ownership</w:t>
      </w:r>
      <w:proofErr w:type="spellEnd"/>
      <w:r w:rsidRPr="00E93759">
        <w:rPr>
          <w:rFonts w:ascii="Times New Roman" w:hAnsi="Times New Roman" w:cs="Times New Roman"/>
        </w:rPr>
        <w:t xml:space="preserve"> nas eleições municipais.</w:t>
      </w:r>
    </w:p>
    <w:p w14:paraId="458CD363" w14:textId="77777777" w:rsidR="006F3525" w:rsidRPr="00E93759" w:rsidRDefault="006F3525" w:rsidP="002A6CD2">
      <w:pPr>
        <w:spacing w:after="0" w:line="240" w:lineRule="auto"/>
        <w:ind w:firstLine="360"/>
        <w:jc w:val="both"/>
        <w:rPr>
          <w:rFonts w:ascii="Times New Roman" w:hAnsi="Times New Roman" w:cs="Times New Roman"/>
        </w:rPr>
      </w:pPr>
    </w:p>
    <w:p w14:paraId="09755952" w14:textId="4B48A5EC" w:rsidR="00200981" w:rsidRPr="00A512C9" w:rsidRDefault="00200981" w:rsidP="00200981">
      <w:pPr>
        <w:spacing w:after="0" w:line="360" w:lineRule="auto"/>
        <w:jc w:val="both"/>
        <w:rPr>
          <w:rFonts w:ascii="Times New Roman" w:hAnsi="Times New Roman" w:cs="Times New Roman"/>
          <w:b/>
          <w:bCs/>
        </w:rPr>
      </w:pPr>
      <w:r w:rsidRPr="00A512C9">
        <w:rPr>
          <w:rFonts w:ascii="Times New Roman" w:hAnsi="Times New Roman" w:cs="Times New Roman"/>
          <w:b/>
          <w:bCs/>
        </w:rPr>
        <w:t>4.2 Limitações do estudo</w:t>
      </w:r>
    </w:p>
    <w:p w14:paraId="75F042E7" w14:textId="6F60ADF0" w:rsidR="00200981" w:rsidRPr="00E93759" w:rsidRDefault="00200981" w:rsidP="00200981">
      <w:pPr>
        <w:spacing w:after="0" w:line="360" w:lineRule="auto"/>
        <w:ind w:firstLine="708"/>
        <w:jc w:val="both"/>
        <w:rPr>
          <w:rFonts w:ascii="Times New Roman" w:hAnsi="Times New Roman" w:cs="Times New Roman"/>
        </w:rPr>
      </w:pPr>
      <w:r w:rsidRPr="00E93759">
        <w:rPr>
          <w:rFonts w:ascii="Times New Roman" w:hAnsi="Times New Roman" w:cs="Times New Roman"/>
        </w:rPr>
        <w:t xml:space="preserve">Este estudo apresenta algumas limitações que devem ser consideradas na interpretação dos resultados. Em primeiro lugar, o recorte empírico baseia-se em uma amostra intencional </w:t>
      </w:r>
      <w:r w:rsidR="00A00EF8" w:rsidRPr="00E93759">
        <w:rPr>
          <w:rFonts w:ascii="Times New Roman" w:hAnsi="Times New Roman" w:cs="Times New Roman"/>
        </w:rPr>
        <w:t>de dois candidatos por eleições</w:t>
      </w:r>
      <w:r w:rsidRPr="00E93759">
        <w:rPr>
          <w:rFonts w:ascii="Times New Roman" w:hAnsi="Times New Roman" w:cs="Times New Roman"/>
        </w:rPr>
        <w:t>, selecionados por apresentarem disputas competitivas em segundo turno entre candidaturas associadas a diferentes posicionamentos ideológicos. Trata-se, portanto, de uma análise comparativa exploratória, não destinada a generalizações estatísticas para o conjunto das eleições municipais brasileiras.</w:t>
      </w:r>
    </w:p>
    <w:p w14:paraId="1D4386E4" w14:textId="77777777" w:rsidR="00200981" w:rsidRPr="00E93759" w:rsidRDefault="00200981" w:rsidP="00200981">
      <w:pPr>
        <w:spacing w:after="0" w:line="360" w:lineRule="auto"/>
        <w:ind w:firstLine="708"/>
        <w:jc w:val="both"/>
        <w:rPr>
          <w:rFonts w:ascii="Times New Roman" w:hAnsi="Times New Roman" w:cs="Times New Roman"/>
        </w:rPr>
      </w:pPr>
      <w:r w:rsidRPr="00E93759">
        <w:rPr>
          <w:rFonts w:ascii="Times New Roman" w:hAnsi="Times New Roman" w:cs="Times New Roman"/>
        </w:rPr>
        <w:t>Em segundo lugar, a classificação ideológica dos Programas de Governo baseia-se em análise de conteúdo e em uma matriz analítica construída a partir da literatura especializada. Embora esse procedimento permita sistematizar diferenças programáticas de forma comparável, ele envolve necessariamente certo grau de interpretação por parte do pesquisador. Para mitigar essa limitação, as categorias utilizadas foram definidas de maneira transparente e aplicadas de forma uniforme a todos os casos analisados.</w:t>
      </w:r>
    </w:p>
    <w:p w14:paraId="429A8CC1" w14:textId="77777777" w:rsidR="00200981" w:rsidRPr="00E93759" w:rsidRDefault="00200981" w:rsidP="00200981">
      <w:pPr>
        <w:spacing w:after="0" w:line="360" w:lineRule="auto"/>
        <w:ind w:firstLine="708"/>
        <w:jc w:val="both"/>
        <w:rPr>
          <w:rFonts w:ascii="Times New Roman" w:hAnsi="Times New Roman" w:cs="Times New Roman"/>
        </w:rPr>
      </w:pPr>
      <w:r w:rsidRPr="00E93759">
        <w:rPr>
          <w:rFonts w:ascii="Times New Roman" w:hAnsi="Times New Roman" w:cs="Times New Roman"/>
        </w:rPr>
        <w:t xml:space="preserve">Outra limitação refere-se ao próprio objeto empírico. Os Planos de Governo são documentos formais que podem não refletir integralmente as estratégias discursivas das </w:t>
      </w:r>
      <w:r w:rsidRPr="00E93759">
        <w:rPr>
          <w:rFonts w:ascii="Times New Roman" w:hAnsi="Times New Roman" w:cs="Times New Roman"/>
        </w:rPr>
        <w:lastRenderedPageBreak/>
        <w:t>campanhas nem as preferências efetivas dos candidatos após a eleição. Ainda assim, constituem a única fonte oficial e comparável de compromissos programáticos registrada no processo eleitoral, o que justifica sua utilização como indicador das orientações propostas ao eleitorado.</w:t>
      </w:r>
    </w:p>
    <w:p w14:paraId="3E169D3B" w14:textId="77777777" w:rsidR="00200981" w:rsidRPr="00E93759" w:rsidRDefault="00200981" w:rsidP="00200981">
      <w:pPr>
        <w:spacing w:after="0" w:line="360" w:lineRule="auto"/>
        <w:ind w:firstLine="360"/>
        <w:jc w:val="both"/>
        <w:rPr>
          <w:rFonts w:ascii="Times New Roman" w:hAnsi="Times New Roman" w:cs="Times New Roman"/>
        </w:rPr>
      </w:pPr>
      <w:r w:rsidRPr="00E93759">
        <w:rPr>
          <w:rFonts w:ascii="Times New Roman" w:hAnsi="Times New Roman" w:cs="Times New Roman"/>
        </w:rPr>
        <w:t>Por fim, é importante destacar que o estudo não busca explicar o comportamento eleitoral nem estabelecer relações causais entre programas e resultados eleitorais, mas sim analisar padrões de posicionamento ideológico e de priorização temática nas propostas apresentadas. Nesse sentido, os resultados devem ser interpretados como evidências descritivas sobre a dinâmica programática das eleições municipais analisadas.</w:t>
      </w:r>
    </w:p>
    <w:p w14:paraId="076457A6" w14:textId="77777777" w:rsidR="00B80193" w:rsidRPr="00E93759" w:rsidRDefault="00B80193" w:rsidP="002A7693">
      <w:pPr>
        <w:spacing w:after="0" w:line="360" w:lineRule="auto"/>
        <w:ind w:firstLine="360"/>
        <w:jc w:val="both"/>
        <w:rPr>
          <w:rFonts w:ascii="Times New Roman" w:hAnsi="Times New Roman" w:cs="Times New Roman"/>
          <w:b/>
          <w:bCs/>
        </w:rPr>
      </w:pPr>
    </w:p>
    <w:p w14:paraId="7086661B" w14:textId="180E8F73" w:rsidR="00895F68" w:rsidRPr="00E93759" w:rsidRDefault="00200981" w:rsidP="002A7693">
      <w:pPr>
        <w:spacing w:after="0" w:line="360" w:lineRule="auto"/>
        <w:ind w:firstLine="360"/>
        <w:jc w:val="both"/>
        <w:rPr>
          <w:rFonts w:ascii="Times New Roman" w:hAnsi="Times New Roman" w:cs="Times New Roman"/>
          <w:b/>
          <w:bCs/>
        </w:rPr>
      </w:pPr>
      <w:r w:rsidRPr="00E93759">
        <w:rPr>
          <w:rFonts w:ascii="Times New Roman" w:hAnsi="Times New Roman" w:cs="Times New Roman"/>
          <w:b/>
          <w:bCs/>
        </w:rPr>
        <w:t>5</w:t>
      </w:r>
      <w:r w:rsidR="00895F68" w:rsidRPr="00E93759">
        <w:rPr>
          <w:rFonts w:ascii="Times New Roman" w:hAnsi="Times New Roman" w:cs="Times New Roman"/>
          <w:b/>
          <w:bCs/>
        </w:rPr>
        <w:t>.Resultados</w:t>
      </w:r>
    </w:p>
    <w:p w14:paraId="238F4223" w14:textId="2BB52961" w:rsidR="00B80193" w:rsidRPr="00E93759" w:rsidRDefault="0057407A" w:rsidP="00B80193">
      <w:pPr>
        <w:spacing w:after="0" w:line="360" w:lineRule="auto"/>
        <w:ind w:firstLine="360"/>
        <w:jc w:val="both"/>
        <w:rPr>
          <w:rFonts w:ascii="Times New Roman" w:hAnsi="Times New Roman" w:cs="Times New Roman"/>
        </w:rPr>
      </w:pPr>
      <w:r w:rsidRPr="00E93759">
        <w:rPr>
          <w:rFonts w:ascii="Times New Roman" w:hAnsi="Times New Roman" w:cs="Times New Roman"/>
        </w:rPr>
        <w:t>Esta seção apresenta os resultados da aplicação da matriz analítica aos Programas de Governo dos candidatos selecionados. Inicialmente, descrevem-se as saliências temáticas identificadas; em seguida, detalha-se a classificação ideológica das propostas por eixo temático e ciclo eleitoral.</w:t>
      </w:r>
    </w:p>
    <w:p w14:paraId="75D5D851" w14:textId="0F9EFC3E" w:rsidR="00895F68" w:rsidRPr="00A512C9" w:rsidRDefault="00200981" w:rsidP="00B80193">
      <w:pPr>
        <w:spacing w:after="0" w:line="360" w:lineRule="auto"/>
        <w:ind w:firstLine="360"/>
        <w:jc w:val="both"/>
        <w:rPr>
          <w:rFonts w:ascii="Times New Roman" w:hAnsi="Times New Roman" w:cs="Times New Roman"/>
          <w:b/>
          <w:bCs/>
        </w:rPr>
      </w:pPr>
      <w:r w:rsidRPr="00A512C9">
        <w:rPr>
          <w:rFonts w:ascii="Times New Roman" w:hAnsi="Times New Roman" w:cs="Times New Roman"/>
          <w:b/>
          <w:bCs/>
        </w:rPr>
        <w:t>5</w:t>
      </w:r>
      <w:r w:rsidR="00895F68" w:rsidRPr="00A512C9">
        <w:rPr>
          <w:rFonts w:ascii="Times New Roman" w:hAnsi="Times New Roman" w:cs="Times New Roman"/>
          <w:b/>
          <w:bCs/>
        </w:rPr>
        <w:t xml:space="preserve">.1 </w:t>
      </w:r>
      <w:r w:rsidR="00646E24" w:rsidRPr="00A512C9">
        <w:rPr>
          <w:rFonts w:ascii="Times New Roman" w:hAnsi="Times New Roman" w:cs="Times New Roman"/>
          <w:b/>
          <w:bCs/>
        </w:rPr>
        <w:t>Eleições de 2018</w:t>
      </w:r>
    </w:p>
    <w:p w14:paraId="6B4FF33C" w14:textId="77777777" w:rsidR="0057407A" w:rsidRPr="00E93759" w:rsidRDefault="00646E24" w:rsidP="0057407A">
      <w:pPr>
        <w:spacing w:after="0" w:line="360" w:lineRule="auto"/>
        <w:jc w:val="both"/>
        <w:rPr>
          <w:rFonts w:ascii="Times New Roman" w:hAnsi="Times New Roman" w:cs="Times New Roman"/>
        </w:rPr>
      </w:pPr>
      <w:r w:rsidRPr="00E93759">
        <w:rPr>
          <w:rFonts w:ascii="Times New Roman" w:hAnsi="Times New Roman" w:cs="Times New Roman"/>
        </w:rPr>
        <w:tab/>
      </w:r>
      <w:r w:rsidR="0057407A" w:rsidRPr="00E93759">
        <w:rPr>
          <w:rFonts w:ascii="Times New Roman" w:hAnsi="Times New Roman" w:cs="Times New Roman"/>
        </w:rPr>
        <w:t>Antes de detalhar as classificações de Jair Bolsonaro (PSL) e Fernando Haddad (PT), é imperativo destacar a disparidade formal entre os documentos. O programa de Bolsonaro, intitulado “O Caminho da Prosperidade”, caracteriza-se por uma estrutura pouco convencional, assemelhando-se a uma apresentação de diretrizes, com 81 páginas focadas em liberalização econômica, segurança pública e valores conservadores. Já o plano de Fernando Haddad apresenta uma densidade técnica superior, estruturando-se em eixos que privilegiam o papel ativo do Estado, a valorização do trabalho e o fortalecimento de políticas sociais universais.</w:t>
      </w:r>
    </w:p>
    <w:p w14:paraId="4AE2430F" w14:textId="77777777" w:rsidR="0057407A" w:rsidRPr="00E93759" w:rsidRDefault="0057407A" w:rsidP="0057407A">
      <w:pPr>
        <w:spacing w:after="0" w:line="360" w:lineRule="auto"/>
        <w:jc w:val="both"/>
        <w:rPr>
          <w:rFonts w:ascii="Times New Roman" w:hAnsi="Times New Roman" w:cs="Times New Roman"/>
        </w:rPr>
      </w:pPr>
    </w:p>
    <w:p w14:paraId="027A71A7" w14:textId="753344C5" w:rsidR="00646E24" w:rsidRPr="00A512C9" w:rsidRDefault="00646E24" w:rsidP="0057407A">
      <w:pPr>
        <w:spacing w:after="0" w:line="360" w:lineRule="auto"/>
        <w:jc w:val="both"/>
        <w:rPr>
          <w:rFonts w:ascii="Times New Roman" w:hAnsi="Times New Roman" w:cs="Times New Roman"/>
          <w:b/>
          <w:bCs/>
        </w:rPr>
      </w:pPr>
      <w:r w:rsidRPr="00A512C9">
        <w:rPr>
          <w:rFonts w:ascii="Times New Roman" w:hAnsi="Times New Roman" w:cs="Times New Roman"/>
          <w:b/>
          <w:bCs/>
        </w:rPr>
        <w:t>5.1.1 Economia</w:t>
      </w:r>
    </w:p>
    <w:p w14:paraId="7AFFB0A7" w14:textId="3ACF2184" w:rsidR="0057407A" w:rsidRPr="00E93759" w:rsidRDefault="00646E24" w:rsidP="0057407A">
      <w:pPr>
        <w:spacing w:after="0" w:line="360" w:lineRule="auto"/>
        <w:jc w:val="both"/>
        <w:rPr>
          <w:rFonts w:ascii="Times New Roman" w:hAnsi="Times New Roman" w:cs="Times New Roman"/>
        </w:rPr>
      </w:pPr>
      <w:r w:rsidRPr="00E93759">
        <w:rPr>
          <w:rFonts w:ascii="Times New Roman" w:hAnsi="Times New Roman" w:cs="Times New Roman"/>
        </w:rPr>
        <w:tab/>
      </w:r>
      <w:r w:rsidR="0057407A" w:rsidRPr="00E93759">
        <w:rPr>
          <w:rFonts w:ascii="Times New Roman" w:hAnsi="Times New Roman" w:cs="Times New Roman"/>
        </w:rPr>
        <w:t>O plano econômico de Bolsonaro foca na redução do tamanho do Estado via privatizações, ajuste fiscal rigoroso e desregulação. Embora a retórica seja de ruptura liberal, o documento ancora-se em agendas de eficiência administrativa já presentes no debate brasileiro, o que modera sua classificação. Assim, posiciona-se na direita (≈ +1,5), pois, apesar do viés pró-mercado, não detalha uma desestatização absoluta de funções essenciais do Estado.</w:t>
      </w:r>
    </w:p>
    <w:p w14:paraId="2AA18416" w14:textId="572CA212" w:rsidR="0057407A" w:rsidRPr="00E93759" w:rsidRDefault="0057407A" w:rsidP="0057407A">
      <w:pPr>
        <w:spacing w:after="0" w:line="360" w:lineRule="auto"/>
        <w:ind w:firstLine="708"/>
        <w:jc w:val="both"/>
        <w:rPr>
          <w:rFonts w:ascii="Times New Roman" w:hAnsi="Times New Roman" w:cs="Times New Roman"/>
        </w:rPr>
      </w:pPr>
      <w:r w:rsidRPr="00E93759">
        <w:rPr>
          <w:rFonts w:ascii="Times New Roman" w:hAnsi="Times New Roman" w:cs="Times New Roman"/>
        </w:rPr>
        <w:t xml:space="preserve">No programa de Haddad, a economia é pautada pelo Estado como indutor do crescimento e pela reforma tributária progressiva. A manutenção de mecanismos de </w:t>
      </w:r>
      <w:r w:rsidRPr="00E93759">
        <w:rPr>
          <w:rFonts w:ascii="Times New Roman" w:hAnsi="Times New Roman" w:cs="Times New Roman"/>
        </w:rPr>
        <w:lastRenderedPageBreak/>
        <w:t>mercado e o foco em parcerias público-privadas para infraestrutura indicam que não se trata de uma proposta de ruptura socialista, mas de um desenvolvimentismo redistributivo. Portanto, o plano situa-se na centro-esquerda (≈ -1,5).</w:t>
      </w:r>
    </w:p>
    <w:p w14:paraId="0655F910" w14:textId="77777777" w:rsidR="0057407A" w:rsidRPr="00E93759" w:rsidRDefault="0057407A" w:rsidP="0057407A">
      <w:pPr>
        <w:spacing w:after="0" w:line="360" w:lineRule="auto"/>
        <w:ind w:firstLine="708"/>
        <w:jc w:val="both"/>
        <w:rPr>
          <w:rFonts w:ascii="Times New Roman" w:hAnsi="Times New Roman" w:cs="Times New Roman"/>
        </w:rPr>
      </w:pPr>
    </w:p>
    <w:p w14:paraId="7978B23A" w14:textId="71B0E72C" w:rsidR="009968C3" w:rsidRPr="00A512C9" w:rsidRDefault="009968C3" w:rsidP="00A512C9">
      <w:pPr>
        <w:spacing w:after="0" w:line="360" w:lineRule="auto"/>
        <w:jc w:val="both"/>
        <w:rPr>
          <w:rFonts w:ascii="Times New Roman" w:hAnsi="Times New Roman" w:cs="Times New Roman"/>
          <w:b/>
          <w:bCs/>
        </w:rPr>
      </w:pPr>
      <w:r w:rsidRPr="00A512C9">
        <w:rPr>
          <w:rFonts w:ascii="Times New Roman" w:hAnsi="Times New Roman" w:cs="Times New Roman"/>
          <w:b/>
          <w:bCs/>
        </w:rPr>
        <w:t xml:space="preserve">5.1.2 Educação </w:t>
      </w:r>
    </w:p>
    <w:p w14:paraId="1C643350" w14:textId="4458ED23" w:rsidR="0057407A" w:rsidRPr="00E93759" w:rsidRDefault="009968C3" w:rsidP="0057407A">
      <w:pPr>
        <w:spacing w:after="0" w:line="360" w:lineRule="auto"/>
        <w:jc w:val="both"/>
        <w:rPr>
          <w:rFonts w:ascii="Times New Roman" w:hAnsi="Times New Roman" w:cs="Times New Roman"/>
        </w:rPr>
      </w:pPr>
      <w:r w:rsidRPr="00E93759">
        <w:rPr>
          <w:rFonts w:ascii="Times New Roman" w:hAnsi="Times New Roman" w:cs="Times New Roman"/>
        </w:rPr>
        <w:tab/>
      </w:r>
      <w:r w:rsidR="0057407A" w:rsidRPr="00E93759">
        <w:rPr>
          <w:rFonts w:ascii="Times New Roman" w:hAnsi="Times New Roman" w:cs="Times New Roman"/>
        </w:rPr>
        <w:t>Neste campo, Bolsonaro introduz a "neutralidade ideológica" - Escola sem Partido -, mas equilibra essa pauta moral com uma agenda gerencial focada em indicadores de desempenho (IDEB). Essa combinação de conservadorismo nos costumes e tecnocracia na gestão posiciona o plano na centro-direita (≈ +1,0), visto que preserva a estrutura da rede pública sob uma nova lógica de controle.</w:t>
      </w:r>
    </w:p>
    <w:p w14:paraId="0FCC4123" w14:textId="77777777" w:rsidR="0057407A" w:rsidRPr="00E93759" w:rsidRDefault="0057407A" w:rsidP="0057407A">
      <w:pPr>
        <w:spacing w:after="0" w:line="360" w:lineRule="auto"/>
        <w:ind w:firstLine="708"/>
        <w:jc w:val="both"/>
        <w:rPr>
          <w:rFonts w:ascii="Times New Roman" w:hAnsi="Times New Roman" w:cs="Times New Roman"/>
        </w:rPr>
      </w:pPr>
      <w:r w:rsidRPr="00E93759">
        <w:rPr>
          <w:rFonts w:ascii="Times New Roman" w:hAnsi="Times New Roman" w:cs="Times New Roman"/>
        </w:rPr>
        <w:t>Haddad foca na expansão do investimento direto e na política de cotas. A defesa intransigente do sistema público universal e a rejeição a modelos de privatização da gestão educacional colocam o programa na esquerda (≈ -1,5). A convergência para o centro é limitada pela baixa abertura a modelos alternativos de oferta, embora o foco na "qualidade" dialogue com demandas transversais da sociedade.</w:t>
      </w:r>
    </w:p>
    <w:p w14:paraId="4C6B41C6" w14:textId="77777777" w:rsidR="0057407A" w:rsidRPr="00E93759" w:rsidRDefault="0057407A" w:rsidP="0057407A">
      <w:pPr>
        <w:spacing w:after="0" w:line="360" w:lineRule="auto"/>
        <w:jc w:val="both"/>
        <w:rPr>
          <w:rFonts w:ascii="Times New Roman" w:hAnsi="Times New Roman" w:cs="Times New Roman"/>
        </w:rPr>
      </w:pPr>
    </w:p>
    <w:p w14:paraId="07DF0B92" w14:textId="29EB8C1F" w:rsidR="009968C3" w:rsidRPr="00A512C9" w:rsidRDefault="009968C3" w:rsidP="0057407A">
      <w:pPr>
        <w:spacing w:after="0" w:line="360" w:lineRule="auto"/>
        <w:jc w:val="both"/>
        <w:rPr>
          <w:rFonts w:ascii="Times New Roman" w:hAnsi="Times New Roman" w:cs="Times New Roman"/>
          <w:b/>
          <w:bCs/>
        </w:rPr>
      </w:pPr>
      <w:r w:rsidRPr="00A512C9">
        <w:rPr>
          <w:rFonts w:ascii="Times New Roman" w:hAnsi="Times New Roman" w:cs="Times New Roman"/>
          <w:b/>
          <w:bCs/>
        </w:rPr>
        <w:t xml:space="preserve">5.1.3 – Segurança </w:t>
      </w:r>
    </w:p>
    <w:p w14:paraId="3B2CED02" w14:textId="77777777" w:rsidR="0057407A" w:rsidRPr="00E93759" w:rsidRDefault="0057407A" w:rsidP="0057407A">
      <w:pPr>
        <w:spacing w:after="0" w:line="360" w:lineRule="auto"/>
        <w:ind w:firstLine="360"/>
        <w:jc w:val="both"/>
        <w:rPr>
          <w:rFonts w:ascii="Times New Roman" w:hAnsi="Times New Roman" w:cs="Times New Roman"/>
        </w:rPr>
      </w:pPr>
      <w:r w:rsidRPr="00E93759">
        <w:rPr>
          <w:rFonts w:ascii="Times New Roman" w:hAnsi="Times New Roman" w:cs="Times New Roman"/>
        </w:rPr>
        <w:t>Este é o eixo de maior distanciamento. Bolsonaro adota uma lógica puramente repressiva, focada no endurecimento penal e na flexibilização do porte de armas, o que o desloca para a direita substantiva (≈ +2,0). Há uma ausência quase total de estratégias preventivas ou sociais neste documento.</w:t>
      </w:r>
    </w:p>
    <w:p w14:paraId="7015541A" w14:textId="77777777" w:rsidR="0057407A" w:rsidRPr="00E93759" w:rsidRDefault="0057407A" w:rsidP="0057407A">
      <w:pPr>
        <w:spacing w:after="0" w:line="360" w:lineRule="auto"/>
        <w:ind w:firstLine="360"/>
        <w:jc w:val="both"/>
        <w:rPr>
          <w:rFonts w:ascii="Times New Roman" w:hAnsi="Times New Roman" w:cs="Times New Roman"/>
        </w:rPr>
      </w:pPr>
      <w:r w:rsidRPr="00E93759">
        <w:rPr>
          <w:rFonts w:ascii="Times New Roman" w:hAnsi="Times New Roman" w:cs="Times New Roman"/>
        </w:rPr>
        <w:t>Em contrapartida, Haddad subordina a repressão à prevenção social e à inteligência. Embora defenda o papel do Estado na segurança, o foco em direitos humanos e nas causas estruturais da violência posiciona o plano na esquerda moderada (≈ -1,5). A moderação aqui reside na aceitação do fortalecimento das instituições policiais, ainda que sob controle civil estrito.</w:t>
      </w:r>
    </w:p>
    <w:p w14:paraId="4D0F0B89" w14:textId="24E13E07" w:rsidR="00BD112F" w:rsidRPr="00E93759" w:rsidRDefault="00BD112F" w:rsidP="0057407A">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A partir da soma dos escores atribuídos aos eixos de economia, educação e segurança, os programas de Jair Bolsonaro e Fernando Haddad posicionam-se em polos opostos do espectro ideológico. O programa de Bolsonaro apresenta pontuação agregada situada entre +4 e +5, o que o insere no campo da direita substantiva (extrema), sobretudo em função do alinhamento entre liberalização econômica, orientação gerencial na educação e abordagem punitiva na segurança. Já o programa de Haddad, com pontuação entre -4 e -5, situa-se na esquerda substantiva (extrema), articulando intervenção estatal na economia, centralidade da educação pública inclusiva e uma abordagem preventiva da </w:t>
      </w:r>
      <w:r w:rsidRPr="00E93759">
        <w:rPr>
          <w:rFonts w:ascii="Times New Roman" w:hAnsi="Times New Roman" w:cs="Times New Roman"/>
        </w:rPr>
        <w:lastRenderedPageBreak/>
        <w:t>segurança. Embora ambos apresentem variações internas entre os eixos, o resultado agregado evidencia uma polarização programática consistente entre os dois projetos.</w:t>
      </w:r>
    </w:p>
    <w:p w14:paraId="5B1E6242" w14:textId="7E7B768D" w:rsidR="00245ED6" w:rsidRPr="00E93759" w:rsidRDefault="00245ED6" w:rsidP="00CE13F8">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Gráfico do posicionamento dos candidatos em 2018. </w:t>
      </w:r>
    </w:p>
    <w:p w14:paraId="5ADE88B9" w14:textId="59CF9D07" w:rsidR="00245ED6" w:rsidRPr="00E93759" w:rsidRDefault="00245ED6" w:rsidP="00245ED6">
      <w:pPr>
        <w:spacing w:after="0" w:line="360" w:lineRule="auto"/>
        <w:ind w:firstLine="360"/>
        <w:jc w:val="both"/>
        <w:rPr>
          <w:rFonts w:ascii="Times New Roman" w:hAnsi="Times New Roman" w:cs="Times New Roman"/>
        </w:rPr>
      </w:pPr>
      <w:r w:rsidRPr="00E93759">
        <w:rPr>
          <w:rFonts w:ascii="Times New Roman" w:hAnsi="Times New Roman" w:cs="Times New Roman"/>
        </w:rPr>
        <w:t>Extrema Esquerda                 Centro                                  Extrema Direita</w:t>
      </w:r>
    </w:p>
    <w:p w14:paraId="26301A11" w14:textId="5B69774E" w:rsidR="00245ED6" w:rsidRPr="00E93759" w:rsidRDefault="00245ED6" w:rsidP="00245ED6">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(-6)                </w:t>
      </w:r>
      <w:proofErr w:type="gramStart"/>
      <w:r w:rsidRPr="00E93759">
        <w:rPr>
          <w:rFonts w:ascii="Times New Roman" w:hAnsi="Times New Roman" w:cs="Times New Roman"/>
        </w:rPr>
        <w:t xml:space="preserve"> </w:t>
      </w:r>
      <w:r w:rsidR="00DA0FAF" w:rsidRPr="00E93759">
        <w:rPr>
          <w:rFonts w:ascii="Times New Roman" w:hAnsi="Times New Roman" w:cs="Times New Roman"/>
        </w:rPr>
        <w:t xml:space="preserve">  </w:t>
      </w:r>
      <w:r w:rsidRPr="00E93759">
        <w:rPr>
          <w:rFonts w:ascii="Times New Roman" w:hAnsi="Times New Roman" w:cs="Times New Roman"/>
        </w:rPr>
        <w:t>(</w:t>
      </w:r>
      <w:proofErr w:type="gramEnd"/>
      <w:r w:rsidRPr="00E93759">
        <w:rPr>
          <w:rFonts w:ascii="Times New Roman" w:hAnsi="Times New Roman" w:cs="Times New Roman"/>
        </w:rPr>
        <w:t xml:space="preserve">-3)              </w:t>
      </w:r>
      <w:r w:rsidR="00DA0FAF" w:rsidRPr="00E93759">
        <w:rPr>
          <w:rFonts w:ascii="Times New Roman" w:hAnsi="Times New Roman" w:cs="Times New Roman"/>
        </w:rPr>
        <w:t xml:space="preserve">      </w:t>
      </w:r>
      <w:proofErr w:type="gramStart"/>
      <w:r w:rsidR="00DA0FAF" w:rsidRPr="00E93759">
        <w:rPr>
          <w:rFonts w:ascii="Times New Roman" w:hAnsi="Times New Roman" w:cs="Times New Roman"/>
        </w:rPr>
        <w:t xml:space="preserve">  </w:t>
      </w:r>
      <w:r w:rsidRPr="00E93759">
        <w:rPr>
          <w:rFonts w:ascii="Times New Roman" w:hAnsi="Times New Roman" w:cs="Times New Roman"/>
        </w:rPr>
        <w:t xml:space="preserve"> (</w:t>
      </w:r>
      <w:proofErr w:type="gramEnd"/>
      <w:r w:rsidRPr="00E93759">
        <w:rPr>
          <w:rFonts w:ascii="Times New Roman" w:hAnsi="Times New Roman" w:cs="Times New Roman"/>
        </w:rPr>
        <w:t xml:space="preserve">0)              </w:t>
      </w:r>
      <w:r w:rsidR="00DA0FAF" w:rsidRPr="00E93759">
        <w:rPr>
          <w:rFonts w:ascii="Times New Roman" w:hAnsi="Times New Roman" w:cs="Times New Roman"/>
        </w:rPr>
        <w:t xml:space="preserve">      </w:t>
      </w:r>
      <w:proofErr w:type="gramStart"/>
      <w:r w:rsidR="00DA0FAF" w:rsidRPr="00E93759">
        <w:rPr>
          <w:rFonts w:ascii="Times New Roman" w:hAnsi="Times New Roman" w:cs="Times New Roman"/>
        </w:rPr>
        <w:t xml:space="preserve">  </w:t>
      </w:r>
      <w:r w:rsidRPr="00E93759">
        <w:rPr>
          <w:rFonts w:ascii="Times New Roman" w:hAnsi="Times New Roman" w:cs="Times New Roman"/>
        </w:rPr>
        <w:t xml:space="preserve"> (</w:t>
      </w:r>
      <w:proofErr w:type="gramEnd"/>
      <w:r w:rsidRPr="00E93759">
        <w:rPr>
          <w:rFonts w:ascii="Times New Roman" w:hAnsi="Times New Roman" w:cs="Times New Roman"/>
        </w:rPr>
        <w:t xml:space="preserve">+3)              </w:t>
      </w:r>
      <w:proofErr w:type="gramStart"/>
      <w:r w:rsidRPr="00E93759">
        <w:rPr>
          <w:rFonts w:ascii="Times New Roman" w:hAnsi="Times New Roman" w:cs="Times New Roman"/>
        </w:rPr>
        <w:t xml:space="preserve">   (</w:t>
      </w:r>
      <w:proofErr w:type="gramEnd"/>
      <w:r w:rsidRPr="00E93759">
        <w:rPr>
          <w:rFonts w:ascii="Times New Roman" w:hAnsi="Times New Roman" w:cs="Times New Roman"/>
        </w:rPr>
        <w:t>+6)</w:t>
      </w:r>
    </w:p>
    <w:p w14:paraId="1E64D77E" w14:textId="77777777" w:rsidR="00245ED6" w:rsidRPr="00E93759" w:rsidRDefault="00245ED6" w:rsidP="00245ED6">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 |--------------------|--------------------|--------------------|--------------------|</w:t>
      </w:r>
    </w:p>
    <w:p w14:paraId="24406AB9" w14:textId="2A1C3F94" w:rsidR="009968C3" w:rsidRPr="00E93759" w:rsidRDefault="00245ED6" w:rsidP="00245ED6">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      </w:t>
      </w:r>
      <w:r w:rsidR="00DA0FAF" w:rsidRPr="00E93759">
        <w:rPr>
          <w:rFonts w:ascii="Times New Roman" w:hAnsi="Times New Roman" w:cs="Times New Roman"/>
        </w:rPr>
        <w:t xml:space="preserve">            </w:t>
      </w:r>
      <w:r w:rsidRPr="00E93759">
        <w:rPr>
          <w:rFonts w:ascii="Times New Roman" w:hAnsi="Times New Roman" w:cs="Times New Roman"/>
        </w:rPr>
        <w:t xml:space="preserve"> ● Haddad (-4,5)                         </w:t>
      </w:r>
      <w:r w:rsidR="00DA0FAF" w:rsidRPr="00E93759">
        <w:rPr>
          <w:rFonts w:ascii="Times New Roman" w:hAnsi="Times New Roman" w:cs="Times New Roman"/>
        </w:rPr>
        <w:t xml:space="preserve">                   </w:t>
      </w:r>
      <w:r w:rsidRPr="00E93759">
        <w:rPr>
          <w:rFonts w:ascii="Times New Roman" w:hAnsi="Times New Roman" w:cs="Times New Roman"/>
        </w:rPr>
        <w:t xml:space="preserve">   ● Bolsonaro (+4,5)</w:t>
      </w:r>
    </w:p>
    <w:p w14:paraId="6A3E74D0" w14:textId="77777777" w:rsidR="00646E24" w:rsidRPr="00E93759" w:rsidRDefault="00646E24" w:rsidP="00646E24">
      <w:pPr>
        <w:spacing w:after="0" w:line="360" w:lineRule="auto"/>
        <w:jc w:val="both"/>
        <w:rPr>
          <w:rFonts w:ascii="Times New Roman" w:hAnsi="Times New Roman" w:cs="Times New Roman"/>
        </w:rPr>
      </w:pPr>
    </w:p>
    <w:p w14:paraId="49803FB4" w14:textId="188331F5" w:rsidR="00324C1A" w:rsidRPr="00A512C9" w:rsidRDefault="00200981" w:rsidP="00646E24">
      <w:pPr>
        <w:spacing w:after="0" w:line="360" w:lineRule="auto"/>
        <w:ind w:firstLine="360"/>
        <w:jc w:val="both"/>
        <w:rPr>
          <w:rFonts w:ascii="Times New Roman" w:hAnsi="Times New Roman" w:cs="Times New Roman"/>
          <w:b/>
          <w:bCs/>
        </w:rPr>
      </w:pPr>
      <w:r w:rsidRPr="00A512C9">
        <w:rPr>
          <w:rFonts w:ascii="Times New Roman" w:hAnsi="Times New Roman" w:cs="Times New Roman"/>
          <w:b/>
          <w:bCs/>
        </w:rPr>
        <w:t>5</w:t>
      </w:r>
      <w:r w:rsidR="00324C1A" w:rsidRPr="00A512C9">
        <w:rPr>
          <w:rFonts w:ascii="Times New Roman" w:hAnsi="Times New Roman" w:cs="Times New Roman"/>
          <w:b/>
          <w:bCs/>
        </w:rPr>
        <w:t>.2</w:t>
      </w:r>
      <w:r w:rsidR="00DA0FAF" w:rsidRPr="00A512C9">
        <w:rPr>
          <w:rFonts w:ascii="Times New Roman" w:hAnsi="Times New Roman" w:cs="Times New Roman"/>
          <w:b/>
          <w:bCs/>
        </w:rPr>
        <w:t xml:space="preserve"> Eleições de 2022</w:t>
      </w:r>
      <w:r w:rsidR="00324C1A" w:rsidRPr="00A512C9">
        <w:rPr>
          <w:rFonts w:ascii="Times New Roman" w:hAnsi="Times New Roman" w:cs="Times New Roman"/>
          <w:b/>
          <w:bCs/>
        </w:rPr>
        <w:t xml:space="preserve"> </w:t>
      </w:r>
    </w:p>
    <w:p w14:paraId="1072B6A5" w14:textId="77777777" w:rsidR="00DA0FAF" w:rsidRPr="00E93759" w:rsidRDefault="00DA0FAF" w:rsidP="00DA0FAF">
      <w:pPr>
        <w:spacing w:after="0" w:line="360" w:lineRule="auto"/>
        <w:ind w:firstLine="360"/>
        <w:jc w:val="both"/>
        <w:rPr>
          <w:rFonts w:ascii="Times New Roman" w:hAnsi="Times New Roman" w:cs="Times New Roman"/>
        </w:rPr>
      </w:pPr>
      <w:r w:rsidRPr="00DA0FAF">
        <w:rPr>
          <w:rFonts w:ascii="Times New Roman" w:hAnsi="Times New Roman" w:cs="Times New Roman"/>
        </w:rPr>
        <w:t xml:space="preserve">Antes de apresentar a classificação dos programas de Jair Bolsonaro e Luiz Inácio Lula da Silva, é necessário destacar diferenças estruturais entre os documentos. O plano de Bolsonaro, intitulado </w:t>
      </w:r>
      <w:r w:rsidRPr="00DA0FAF">
        <w:rPr>
          <w:rFonts w:ascii="Times New Roman" w:hAnsi="Times New Roman" w:cs="Times New Roman"/>
          <w:i/>
          <w:iCs/>
        </w:rPr>
        <w:t>“Pelo Bem do Brasil”</w:t>
      </w:r>
      <w:r w:rsidRPr="00DA0FAF">
        <w:rPr>
          <w:rFonts w:ascii="Times New Roman" w:hAnsi="Times New Roman" w:cs="Times New Roman"/>
        </w:rPr>
        <w:t xml:space="preserve">, mantém um formato sintético, com menor densidade programática e organização menos detalhada, funcionando mais como diretriz política geral do que como um programa extensivo de políticas públicas. Já o plano de Lula, denominado </w:t>
      </w:r>
      <w:r w:rsidRPr="00DA0FAF">
        <w:rPr>
          <w:rFonts w:ascii="Times New Roman" w:hAnsi="Times New Roman" w:cs="Times New Roman"/>
          <w:i/>
          <w:iCs/>
        </w:rPr>
        <w:t>“Diretrizes para o Programa de Reconstrução e Transformação do Brasil”</w:t>
      </w:r>
      <w:r w:rsidRPr="00DA0FAF">
        <w:rPr>
          <w:rFonts w:ascii="Times New Roman" w:hAnsi="Times New Roman" w:cs="Times New Roman"/>
        </w:rPr>
        <w:t>, apresenta maior extensão e organização temática, estruturando-se em eixos como desenvolvimento econômico, inclusão social, fortalecimento institucional e reconstrução de políticas públicas, com maior grau de articulação interna.</w:t>
      </w:r>
    </w:p>
    <w:p w14:paraId="4BD39C19" w14:textId="77777777" w:rsidR="00DA0FAF" w:rsidRPr="00DA0FAF" w:rsidRDefault="00DA0FAF" w:rsidP="00DA0FAF">
      <w:pPr>
        <w:spacing w:after="0" w:line="360" w:lineRule="auto"/>
        <w:ind w:firstLine="360"/>
        <w:jc w:val="both"/>
        <w:rPr>
          <w:rFonts w:ascii="Times New Roman" w:hAnsi="Times New Roman" w:cs="Times New Roman"/>
        </w:rPr>
      </w:pPr>
    </w:p>
    <w:p w14:paraId="7DA0BCF6" w14:textId="1AFBF5B1" w:rsidR="00DA0FAF" w:rsidRPr="00A512C9" w:rsidRDefault="00DA0FAF" w:rsidP="00200981">
      <w:pPr>
        <w:spacing w:after="0" w:line="360" w:lineRule="auto"/>
        <w:ind w:firstLine="360"/>
        <w:jc w:val="both"/>
        <w:rPr>
          <w:rFonts w:ascii="Times New Roman" w:hAnsi="Times New Roman" w:cs="Times New Roman"/>
          <w:b/>
          <w:bCs/>
        </w:rPr>
      </w:pPr>
      <w:r w:rsidRPr="00A512C9">
        <w:rPr>
          <w:rFonts w:ascii="Times New Roman" w:hAnsi="Times New Roman" w:cs="Times New Roman"/>
          <w:b/>
          <w:bCs/>
        </w:rPr>
        <w:t xml:space="preserve">5.2.1 Economia </w:t>
      </w:r>
    </w:p>
    <w:p w14:paraId="42050151" w14:textId="77777777" w:rsidR="004C041A" w:rsidRPr="00E93759" w:rsidRDefault="004C041A" w:rsidP="004C041A">
      <w:pPr>
        <w:spacing w:after="0" w:line="360" w:lineRule="auto"/>
        <w:ind w:firstLine="360"/>
        <w:jc w:val="both"/>
        <w:rPr>
          <w:rFonts w:ascii="Times New Roman" w:hAnsi="Times New Roman" w:cs="Times New Roman"/>
        </w:rPr>
      </w:pPr>
      <w:r w:rsidRPr="00E93759">
        <w:rPr>
          <w:rFonts w:ascii="Times New Roman" w:hAnsi="Times New Roman" w:cs="Times New Roman"/>
        </w:rPr>
        <w:t>A análise de Bolsonaro (2022) revela um deslocamento em direção ao centro-direita. A incorporação pragmática de auxílios sociais e a redução da ênfase em privatizações de grande impacto (como a Petrobras, tratada de forma ambígua) indicam uma adaptação à realidade da incumbência. O plano situa-se em +1,0 (Centro-Direita).</w:t>
      </w:r>
    </w:p>
    <w:p w14:paraId="7397E898" w14:textId="6E3E8190" w:rsidR="00DA0FAF" w:rsidRPr="00E93759" w:rsidRDefault="004C041A" w:rsidP="004C041A">
      <w:pPr>
        <w:spacing w:after="0" w:line="360" w:lineRule="auto"/>
        <w:ind w:firstLine="360"/>
        <w:jc w:val="both"/>
        <w:rPr>
          <w:rFonts w:ascii="Times New Roman" w:hAnsi="Times New Roman" w:cs="Times New Roman"/>
        </w:rPr>
      </w:pPr>
      <w:r w:rsidRPr="00E93759">
        <w:rPr>
          <w:rFonts w:ascii="Times New Roman" w:hAnsi="Times New Roman" w:cs="Times New Roman"/>
        </w:rPr>
        <w:t>Lula (2022) apresenta uma moderação ainda mais acentuada. O discurso de "reconstrução" foca em estabilidade e responsabilidade fiscal — ainda que com críticas ao teto de gastos. A sinalização de um modelo de "economia mista" e o diálogo com setores produtivos deslocam o programa para a centro-esquerda (≈ -1,0), aproximando-o consideravelmente do eleitor mediano.</w:t>
      </w:r>
    </w:p>
    <w:p w14:paraId="0BA82A53" w14:textId="77777777" w:rsidR="004C041A" w:rsidRPr="00E93759" w:rsidRDefault="004C041A" w:rsidP="004C041A">
      <w:pPr>
        <w:spacing w:after="0" w:line="360" w:lineRule="auto"/>
        <w:ind w:firstLine="360"/>
        <w:jc w:val="both"/>
        <w:rPr>
          <w:rFonts w:ascii="Times New Roman" w:hAnsi="Times New Roman" w:cs="Times New Roman"/>
        </w:rPr>
      </w:pPr>
    </w:p>
    <w:p w14:paraId="47BED186" w14:textId="2A9D1E41" w:rsidR="00DA0FAF" w:rsidRPr="00A512C9" w:rsidRDefault="00DA0FAF" w:rsidP="00200981">
      <w:pPr>
        <w:spacing w:after="0" w:line="360" w:lineRule="auto"/>
        <w:ind w:firstLine="360"/>
        <w:jc w:val="both"/>
        <w:rPr>
          <w:rFonts w:ascii="Times New Roman" w:hAnsi="Times New Roman" w:cs="Times New Roman"/>
          <w:b/>
          <w:bCs/>
        </w:rPr>
      </w:pPr>
      <w:r w:rsidRPr="00A512C9">
        <w:rPr>
          <w:rFonts w:ascii="Times New Roman" w:hAnsi="Times New Roman" w:cs="Times New Roman"/>
          <w:b/>
          <w:bCs/>
        </w:rPr>
        <w:t xml:space="preserve">5.2.2 Educação </w:t>
      </w:r>
    </w:p>
    <w:p w14:paraId="31CA8E55" w14:textId="77777777" w:rsidR="004C041A" w:rsidRPr="00E93759" w:rsidRDefault="004C041A" w:rsidP="004C041A">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Na Educação, ambos os candidatos repetem suas matrizes de 2018, mas com tons suavizados. Bolsonaro foca em "educação profissionalizante" e Lula em "recomposição </w:t>
      </w:r>
      <w:r w:rsidRPr="00E93759">
        <w:rPr>
          <w:rFonts w:ascii="Times New Roman" w:hAnsi="Times New Roman" w:cs="Times New Roman"/>
        </w:rPr>
        <w:lastRenderedPageBreak/>
        <w:t xml:space="preserve">de verbas". Ambos </w:t>
      </w:r>
      <w:proofErr w:type="gramStart"/>
      <w:r w:rsidRPr="00E93759">
        <w:rPr>
          <w:rFonts w:ascii="Times New Roman" w:hAnsi="Times New Roman" w:cs="Times New Roman"/>
        </w:rPr>
        <w:t>situam-se</w:t>
      </w:r>
      <w:proofErr w:type="gramEnd"/>
      <w:r w:rsidRPr="00E93759">
        <w:rPr>
          <w:rFonts w:ascii="Times New Roman" w:hAnsi="Times New Roman" w:cs="Times New Roman"/>
        </w:rPr>
        <w:t xml:space="preserve"> em polos moderados (+1,0 e -1,0, respectivamente), sem propostas de rupturas sistêmicas.</w:t>
      </w:r>
    </w:p>
    <w:p w14:paraId="2170D1A3" w14:textId="53DF68CB" w:rsidR="00DA0FAF" w:rsidRPr="00E93759" w:rsidRDefault="004C041A" w:rsidP="004C041A">
      <w:pPr>
        <w:spacing w:after="0" w:line="360" w:lineRule="auto"/>
        <w:ind w:firstLine="360"/>
        <w:jc w:val="both"/>
        <w:rPr>
          <w:rFonts w:ascii="Times New Roman" w:hAnsi="Times New Roman" w:cs="Times New Roman"/>
        </w:rPr>
      </w:pPr>
      <w:r w:rsidRPr="00E93759">
        <w:rPr>
          <w:rFonts w:ascii="Times New Roman" w:hAnsi="Times New Roman" w:cs="Times New Roman"/>
        </w:rPr>
        <w:t>Na Segurança, a assimetria persiste. Bolsonaro mantém a agenda de "Lei e Ordem" e armas (+2,0), sendo este seu eixo mais resiliente ao centro. Lula, por outro lado, evita temas polêmicos como a desmilitarização radical, focando em "coordenação nacional" e "inteligência", o que aproxima sua proposta de uma gestão técnica de segurança (-1,5).</w:t>
      </w:r>
    </w:p>
    <w:p w14:paraId="4780CE37" w14:textId="77777777" w:rsidR="004C041A" w:rsidRPr="00E93759" w:rsidRDefault="004C041A" w:rsidP="004C041A">
      <w:pPr>
        <w:spacing w:after="0" w:line="360" w:lineRule="auto"/>
        <w:ind w:firstLine="360"/>
        <w:jc w:val="both"/>
        <w:rPr>
          <w:rFonts w:ascii="Times New Roman" w:hAnsi="Times New Roman" w:cs="Times New Roman"/>
        </w:rPr>
      </w:pPr>
    </w:p>
    <w:p w14:paraId="66562ECA" w14:textId="01E43B17" w:rsidR="00DA0FAF" w:rsidRPr="00A512C9" w:rsidRDefault="00DA0FAF" w:rsidP="00200981">
      <w:pPr>
        <w:spacing w:after="0" w:line="360" w:lineRule="auto"/>
        <w:ind w:firstLine="360"/>
        <w:jc w:val="both"/>
        <w:rPr>
          <w:rFonts w:ascii="Times New Roman" w:hAnsi="Times New Roman" w:cs="Times New Roman"/>
          <w:b/>
          <w:bCs/>
        </w:rPr>
      </w:pPr>
      <w:r w:rsidRPr="00A512C9">
        <w:rPr>
          <w:rFonts w:ascii="Times New Roman" w:hAnsi="Times New Roman" w:cs="Times New Roman"/>
          <w:b/>
          <w:bCs/>
        </w:rPr>
        <w:t xml:space="preserve">5.2.3 Segurança </w:t>
      </w:r>
    </w:p>
    <w:p w14:paraId="65AFCFD2" w14:textId="77777777" w:rsidR="004C041A" w:rsidRPr="00E93759" w:rsidRDefault="004C041A" w:rsidP="004C041A">
      <w:pPr>
        <w:spacing w:after="0" w:line="360" w:lineRule="auto"/>
        <w:ind w:firstLine="360"/>
        <w:jc w:val="both"/>
        <w:rPr>
          <w:rFonts w:ascii="Times New Roman" w:hAnsi="Times New Roman" w:cs="Times New Roman"/>
        </w:rPr>
      </w:pPr>
      <w:r w:rsidRPr="00E93759">
        <w:rPr>
          <w:rFonts w:ascii="Times New Roman" w:hAnsi="Times New Roman" w:cs="Times New Roman"/>
        </w:rPr>
        <w:t>Na Segurança, a assimetria persiste. Bolsonaro mantém a agenda de "Lei e Ordem" e armas (+2,0), sendo este seu eixo mais resiliente ao centro. Lula, por outro lado, evita temas polêmicos como a desmilitarização radical, focando em "coordenação nacional" e "inteligência", o que aproxima sua proposta de uma gestão técnica de segurança (-1,5).</w:t>
      </w:r>
    </w:p>
    <w:p w14:paraId="3B25CD2D" w14:textId="115FC0A4" w:rsidR="00DA0FAF" w:rsidRPr="00E93759" w:rsidRDefault="00DA0FAF" w:rsidP="00200981">
      <w:pPr>
        <w:spacing w:after="0" w:line="360" w:lineRule="auto"/>
        <w:ind w:firstLine="360"/>
        <w:jc w:val="both"/>
        <w:rPr>
          <w:rFonts w:ascii="Times New Roman" w:hAnsi="Times New Roman" w:cs="Times New Roman"/>
        </w:rPr>
      </w:pPr>
      <w:r w:rsidRPr="00E93759">
        <w:rPr>
          <w:rFonts w:ascii="Times New Roman" w:hAnsi="Times New Roman" w:cs="Times New Roman"/>
        </w:rPr>
        <w:t>A representação gráfica evidencia uma assimetria ideológica relevante entre os programas de Luiz Inácio Lula da Silva e Jair Bolsonaro em 2022. Enquanto o programa de Bolsonaro se mantém no campo da direita substantiva (≈+4), sustentado principalmente pela centralidade de uma agenda punitiva na segurança e pela continuidade de diretrizes pró-mercado, o programa de Lula desloca-se em direção ao centro-esquerda (≈-3,5), resultado de uma moderação relativa em comparação ao ciclo anterior, especialmente no eixo econômico. O gráfico sintetiza, portanto, não apenas uma polarização ideológica, mas uma mudança qualitativa em relação a 2018: se naquele momento havia maior simetria entre polos extremos, em 2022 observa-se um cenário de polarização assimétrica, no qual apenas um dos candidatos se aproxima do limite superior da escala, enquanto o outro adota uma posição mais moderada dentro do espectro analisado.</w:t>
      </w:r>
    </w:p>
    <w:p w14:paraId="310577F1" w14:textId="21BAE2BC" w:rsidR="00DA0FAF" w:rsidRPr="00E93759" w:rsidRDefault="00DA0FAF" w:rsidP="00DA0FAF">
      <w:pPr>
        <w:spacing w:after="0" w:line="360" w:lineRule="auto"/>
        <w:jc w:val="both"/>
        <w:rPr>
          <w:rFonts w:ascii="Times New Roman" w:hAnsi="Times New Roman" w:cs="Times New Roman"/>
        </w:rPr>
      </w:pPr>
      <w:r w:rsidRPr="00E93759">
        <w:rPr>
          <w:rFonts w:ascii="Times New Roman" w:hAnsi="Times New Roman" w:cs="Times New Roman"/>
        </w:rPr>
        <w:t>Extrema Esquerda                        Centro                                         Extrema Direita</w:t>
      </w:r>
    </w:p>
    <w:p w14:paraId="39D714B8" w14:textId="5EAC08E0" w:rsidR="00DA0FAF" w:rsidRPr="00E93759" w:rsidRDefault="00DA0FAF" w:rsidP="00DA0FAF">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(-6)                 </w:t>
      </w:r>
      <w:proofErr w:type="gramStart"/>
      <w:r w:rsidRPr="00E93759">
        <w:rPr>
          <w:rFonts w:ascii="Times New Roman" w:hAnsi="Times New Roman" w:cs="Times New Roman"/>
        </w:rPr>
        <w:t xml:space="preserve">   (</w:t>
      </w:r>
      <w:proofErr w:type="gramEnd"/>
      <w:r w:rsidRPr="00E93759">
        <w:rPr>
          <w:rFonts w:ascii="Times New Roman" w:hAnsi="Times New Roman" w:cs="Times New Roman"/>
        </w:rPr>
        <w:t xml:space="preserve">-3)                   </w:t>
      </w:r>
      <w:proofErr w:type="gramStart"/>
      <w:r w:rsidRPr="00E93759">
        <w:rPr>
          <w:rFonts w:ascii="Times New Roman" w:hAnsi="Times New Roman" w:cs="Times New Roman"/>
        </w:rPr>
        <w:t xml:space="preserve">   (</w:t>
      </w:r>
      <w:proofErr w:type="gramEnd"/>
      <w:r w:rsidRPr="00E93759">
        <w:rPr>
          <w:rFonts w:ascii="Times New Roman" w:hAnsi="Times New Roman" w:cs="Times New Roman"/>
        </w:rPr>
        <w:t xml:space="preserve">0)                  </w:t>
      </w:r>
      <w:proofErr w:type="gramStart"/>
      <w:r w:rsidRPr="00E93759">
        <w:rPr>
          <w:rFonts w:ascii="Times New Roman" w:hAnsi="Times New Roman" w:cs="Times New Roman"/>
        </w:rPr>
        <w:t xml:space="preserve">   (</w:t>
      </w:r>
      <w:proofErr w:type="gramEnd"/>
      <w:r w:rsidRPr="00E93759">
        <w:rPr>
          <w:rFonts w:ascii="Times New Roman" w:hAnsi="Times New Roman" w:cs="Times New Roman"/>
        </w:rPr>
        <w:t xml:space="preserve">+3)               </w:t>
      </w:r>
      <w:proofErr w:type="gramStart"/>
      <w:r w:rsidRPr="00E93759">
        <w:rPr>
          <w:rFonts w:ascii="Times New Roman" w:hAnsi="Times New Roman" w:cs="Times New Roman"/>
        </w:rPr>
        <w:t xml:space="preserve">   (</w:t>
      </w:r>
      <w:proofErr w:type="gramEnd"/>
      <w:r w:rsidRPr="00E93759">
        <w:rPr>
          <w:rFonts w:ascii="Times New Roman" w:hAnsi="Times New Roman" w:cs="Times New Roman"/>
        </w:rPr>
        <w:t>+6)</w:t>
      </w:r>
    </w:p>
    <w:p w14:paraId="0B42AB37" w14:textId="77777777" w:rsidR="00DA0FAF" w:rsidRPr="00E93759" w:rsidRDefault="00DA0FAF" w:rsidP="00DA0FAF">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 |--------------------|--------------------|--------------------|--------------------|</w:t>
      </w:r>
    </w:p>
    <w:p w14:paraId="38AB8E34" w14:textId="3005BB58" w:rsidR="00DA0FAF" w:rsidRPr="00E93759" w:rsidRDefault="00DA0FAF" w:rsidP="00DA0FAF">
      <w:pPr>
        <w:spacing w:after="0" w:line="360" w:lineRule="auto"/>
        <w:ind w:firstLine="360"/>
        <w:jc w:val="both"/>
        <w:rPr>
          <w:rFonts w:ascii="Times New Roman" w:hAnsi="Times New Roman" w:cs="Times New Roman"/>
        </w:rPr>
      </w:pPr>
      <w:r w:rsidRPr="00E93759">
        <w:rPr>
          <w:rFonts w:ascii="Times New Roman" w:hAnsi="Times New Roman" w:cs="Times New Roman"/>
        </w:rPr>
        <w:t xml:space="preserve">                    ● Lula (-3,5)                                                  ● Bolsonaro (+4)</w:t>
      </w:r>
    </w:p>
    <w:p w14:paraId="7A27AD6F" w14:textId="77777777" w:rsidR="00DA0FAF" w:rsidRPr="00E93759" w:rsidRDefault="00DA0FAF" w:rsidP="00200981">
      <w:pPr>
        <w:spacing w:after="0" w:line="360" w:lineRule="auto"/>
        <w:ind w:firstLine="360"/>
        <w:jc w:val="both"/>
        <w:rPr>
          <w:rFonts w:ascii="Times New Roman" w:hAnsi="Times New Roman" w:cs="Times New Roman"/>
        </w:rPr>
      </w:pPr>
    </w:p>
    <w:p w14:paraId="223C34D1" w14:textId="01E50604" w:rsidR="00F5355A" w:rsidRPr="00E93759" w:rsidRDefault="00200981" w:rsidP="00200981">
      <w:pPr>
        <w:spacing w:after="0" w:line="360" w:lineRule="auto"/>
        <w:ind w:firstLine="360"/>
        <w:jc w:val="both"/>
        <w:rPr>
          <w:rFonts w:ascii="Times New Roman" w:hAnsi="Times New Roman" w:cs="Times New Roman"/>
          <w:b/>
          <w:bCs/>
        </w:rPr>
      </w:pPr>
      <w:r w:rsidRPr="00E93759">
        <w:rPr>
          <w:rFonts w:ascii="Times New Roman" w:hAnsi="Times New Roman" w:cs="Times New Roman"/>
          <w:b/>
          <w:bCs/>
        </w:rPr>
        <w:t>6</w:t>
      </w:r>
      <w:r w:rsidR="004D22C5" w:rsidRPr="00E93759">
        <w:rPr>
          <w:rFonts w:ascii="Times New Roman" w:hAnsi="Times New Roman" w:cs="Times New Roman"/>
          <w:b/>
          <w:bCs/>
        </w:rPr>
        <w:t xml:space="preserve">. </w:t>
      </w:r>
      <w:r w:rsidR="002A7693" w:rsidRPr="00E93759">
        <w:rPr>
          <w:rFonts w:ascii="Times New Roman" w:hAnsi="Times New Roman" w:cs="Times New Roman"/>
          <w:b/>
          <w:bCs/>
        </w:rPr>
        <w:t>C</w:t>
      </w:r>
      <w:r w:rsidR="00F80B00" w:rsidRPr="00E93759">
        <w:rPr>
          <w:rFonts w:ascii="Times New Roman" w:hAnsi="Times New Roman" w:cs="Times New Roman"/>
          <w:b/>
          <w:bCs/>
        </w:rPr>
        <w:t>onclusão</w:t>
      </w:r>
    </w:p>
    <w:p w14:paraId="2B538B40" w14:textId="77777777" w:rsidR="004C041A" w:rsidRPr="004C041A" w:rsidRDefault="004C041A" w:rsidP="004C041A">
      <w:pPr>
        <w:spacing w:after="0" w:line="360" w:lineRule="auto"/>
        <w:ind w:firstLine="360"/>
        <w:jc w:val="both"/>
        <w:rPr>
          <w:rFonts w:ascii="Times New Roman" w:hAnsi="Times New Roman" w:cs="Times New Roman"/>
        </w:rPr>
      </w:pPr>
      <w:r w:rsidRPr="004C041A">
        <w:rPr>
          <w:rFonts w:ascii="Times New Roman" w:hAnsi="Times New Roman" w:cs="Times New Roman"/>
        </w:rPr>
        <w:t xml:space="preserve">A análise comparativa dos Programas de Governo de 2018 e 2022 confirma a hipótese central deste trabalho: a existência de uma dissonância entre a radicalização da retórica eleitoral e a relativa moderação dos compromissos formais de política pública. Do ponto de vista da Teoria Espacial de Downs (1957), os resultados sugerem que, embora a </w:t>
      </w:r>
      <w:r w:rsidRPr="004C041A">
        <w:rPr>
          <w:rFonts w:ascii="Times New Roman" w:hAnsi="Times New Roman" w:cs="Times New Roman"/>
        </w:rPr>
        <w:lastRenderedPageBreak/>
        <w:t>polarização afetiva mobilize as bases, a necessidade de capturar o eleitor mediano exerce uma força centrípeta sobre os documentos programáticos, obrigando os candidatos a orbitarem zonas mais próximas ao centro do espectro.</w:t>
      </w:r>
    </w:p>
    <w:p w14:paraId="3F11D604" w14:textId="0E95BA60" w:rsidR="004C041A" w:rsidRPr="004C041A" w:rsidRDefault="004C041A" w:rsidP="004C041A">
      <w:pPr>
        <w:spacing w:after="0" w:line="360" w:lineRule="auto"/>
        <w:ind w:firstLine="360"/>
        <w:jc w:val="both"/>
        <w:rPr>
          <w:rFonts w:ascii="Times New Roman" w:hAnsi="Times New Roman" w:cs="Times New Roman"/>
        </w:rPr>
      </w:pPr>
      <w:r w:rsidRPr="004C041A">
        <w:rPr>
          <w:rFonts w:ascii="Times New Roman" w:hAnsi="Times New Roman" w:cs="Times New Roman"/>
        </w:rPr>
        <w:t xml:space="preserve">Os dados revelam que a clivagem entre esquerda e direita, definida por Bobbio (2011) a partir da atitude diante da desigualdade, permanece como o eixo estruturante da competição. Contudo, em áreas como Economia e Educação, observa-se que as balizas institucionais e o </w:t>
      </w:r>
      <w:proofErr w:type="spellStart"/>
      <w:r w:rsidRPr="004C041A">
        <w:rPr>
          <w:rFonts w:ascii="Times New Roman" w:hAnsi="Times New Roman" w:cs="Times New Roman"/>
          <w:i/>
          <w:iCs/>
        </w:rPr>
        <w:t>Issue</w:t>
      </w:r>
      <w:proofErr w:type="spellEnd"/>
      <w:r w:rsidRPr="004C041A">
        <w:rPr>
          <w:rFonts w:ascii="Times New Roman" w:hAnsi="Times New Roman" w:cs="Times New Roman"/>
          <w:i/>
          <w:iCs/>
        </w:rPr>
        <w:t xml:space="preserve"> </w:t>
      </w:r>
      <w:proofErr w:type="spellStart"/>
      <w:r w:rsidRPr="004C041A">
        <w:rPr>
          <w:rFonts w:ascii="Times New Roman" w:hAnsi="Times New Roman" w:cs="Times New Roman"/>
          <w:i/>
          <w:iCs/>
        </w:rPr>
        <w:t>Ownership</w:t>
      </w:r>
      <w:proofErr w:type="spellEnd"/>
      <w:r w:rsidRPr="004C041A">
        <w:rPr>
          <w:rFonts w:ascii="Times New Roman" w:hAnsi="Times New Roman" w:cs="Times New Roman"/>
        </w:rPr>
        <w:t xml:space="preserve"> (</w:t>
      </w:r>
      <w:proofErr w:type="spellStart"/>
      <w:r w:rsidRPr="004C041A">
        <w:rPr>
          <w:rFonts w:ascii="Times New Roman" w:hAnsi="Times New Roman" w:cs="Times New Roman"/>
        </w:rPr>
        <w:t>Petrocik</w:t>
      </w:r>
      <w:proofErr w:type="spellEnd"/>
      <w:r w:rsidRPr="004C041A">
        <w:rPr>
          <w:rFonts w:ascii="Times New Roman" w:hAnsi="Times New Roman" w:cs="Times New Roman"/>
        </w:rPr>
        <w:t>, 1996) forçam uma convergência técnica: nenhum dos candidatos propõe o desmonte total do Estado de Bem-Estar ou a ruptura completa com a ordem econômica global</w:t>
      </w:r>
      <w:r w:rsidRPr="00E93759">
        <w:rPr>
          <w:rFonts w:ascii="Times New Roman" w:hAnsi="Times New Roman" w:cs="Times New Roman"/>
        </w:rPr>
        <w:t xml:space="preserve"> – pelo menos em seus planos de governo</w:t>
      </w:r>
      <w:r w:rsidRPr="004C041A">
        <w:rPr>
          <w:rFonts w:ascii="Times New Roman" w:hAnsi="Times New Roman" w:cs="Times New Roman"/>
        </w:rPr>
        <w:t>. A segurança pública, entretanto, permanece como o reduto da polarização, onde o distanciamento ideológico é máximo e a moderação é menos evidente, especialmente no campo da direita.</w:t>
      </w:r>
    </w:p>
    <w:p w14:paraId="459C17FB" w14:textId="0B1D34BF" w:rsidR="004C041A" w:rsidRPr="00E93759" w:rsidRDefault="007359DD" w:rsidP="004C041A">
      <w:pPr>
        <w:spacing w:after="0" w:line="360" w:lineRule="auto"/>
        <w:ind w:firstLine="360"/>
        <w:jc w:val="both"/>
        <w:rPr>
          <w:rFonts w:ascii="Times New Roman" w:hAnsi="Times New Roman" w:cs="Times New Roman"/>
        </w:rPr>
      </w:pPr>
      <w:r w:rsidRPr="00E93759">
        <w:rPr>
          <w:rFonts w:ascii="Times New Roman" w:hAnsi="Times New Roman" w:cs="Times New Roman"/>
        </w:rPr>
        <w:t>Em um c</w:t>
      </w:r>
      <w:r w:rsidR="004C041A" w:rsidRPr="004C041A">
        <w:rPr>
          <w:rFonts w:ascii="Times New Roman" w:hAnsi="Times New Roman" w:cs="Times New Roman"/>
        </w:rPr>
        <w:t xml:space="preserve">omparativo do </w:t>
      </w:r>
      <w:r w:rsidRPr="00E93759">
        <w:rPr>
          <w:rFonts w:ascii="Times New Roman" w:hAnsi="Times New Roman" w:cs="Times New Roman"/>
        </w:rPr>
        <w:t>p</w:t>
      </w:r>
      <w:r w:rsidR="004C041A" w:rsidRPr="004C041A">
        <w:rPr>
          <w:rFonts w:ascii="Times New Roman" w:hAnsi="Times New Roman" w:cs="Times New Roman"/>
        </w:rPr>
        <w:t xml:space="preserve">osicionamento </w:t>
      </w:r>
      <w:r w:rsidRPr="00E93759">
        <w:rPr>
          <w:rFonts w:ascii="Times New Roman" w:hAnsi="Times New Roman" w:cs="Times New Roman"/>
        </w:rPr>
        <w:t>p</w:t>
      </w:r>
      <w:r w:rsidR="004C041A" w:rsidRPr="004C041A">
        <w:rPr>
          <w:rFonts w:ascii="Times New Roman" w:hAnsi="Times New Roman" w:cs="Times New Roman"/>
        </w:rPr>
        <w:t>rogramático (2018–2022)</w:t>
      </w:r>
      <w:r w:rsidRPr="00E93759">
        <w:rPr>
          <w:rFonts w:ascii="Times New Roman" w:hAnsi="Times New Roman" w:cs="Times New Roman"/>
        </w:rPr>
        <w:t>. Conforme vemos a</w:t>
      </w:r>
      <w:r w:rsidR="004C041A" w:rsidRPr="004C041A">
        <w:rPr>
          <w:rFonts w:ascii="Times New Roman" w:hAnsi="Times New Roman" w:cs="Times New Roman"/>
        </w:rPr>
        <w:t>baixo, os escores atribuídos a cada eixo demonstram a movimentação dos candidatos ao longo dos dois ciclos:</w:t>
      </w:r>
    </w:p>
    <w:tbl>
      <w:tblPr>
        <w:tblW w:w="0" w:type="auto"/>
        <w:tblCellSpacing w:w="15" w:type="dxa"/>
        <w:tblCellMar>
          <w:left w:w="0" w:type="dxa"/>
          <w:right w:w="0" w:type="dxa"/>
        </w:tblCellMar>
        <w:tblLook w:val="04A0" w:firstRow="1" w:lastRow="0" w:firstColumn="1" w:lastColumn="0" w:noHBand="0" w:noVBand="1"/>
      </w:tblPr>
      <w:tblGrid>
        <w:gridCol w:w="2320"/>
        <w:gridCol w:w="1566"/>
        <w:gridCol w:w="1774"/>
        <w:gridCol w:w="1219"/>
        <w:gridCol w:w="1609"/>
      </w:tblGrid>
      <w:tr w:rsidR="007359DD" w:rsidRPr="007359DD" w14:paraId="06C0680C" w14:textId="77777777">
        <w:trPr>
          <w:tblHeade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88FB40E" w14:textId="77777777" w:rsidR="007359DD" w:rsidRPr="007359DD" w:rsidRDefault="007359DD" w:rsidP="007359DD">
            <w:pPr>
              <w:spacing w:after="0" w:line="360" w:lineRule="auto"/>
              <w:ind w:firstLine="360"/>
              <w:jc w:val="center"/>
              <w:rPr>
                <w:rFonts w:ascii="Times New Roman" w:hAnsi="Times New Roman" w:cs="Times New Roman"/>
              </w:rPr>
            </w:pPr>
            <w:r w:rsidRPr="007359DD">
              <w:rPr>
                <w:rFonts w:ascii="Times New Roman" w:hAnsi="Times New Roman" w:cs="Times New Roman"/>
                <w:b/>
                <w:bCs/>
              </w:rPr>
              <w:t>Eixo Temático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BFB41A4" w14:textId="77777777" w:rsidR="007359DD" w:rsidRPr="007359DD" w:rsidRDefault="007359DD" w:rsidP="007359DD">
            <w:pPr>
              <w:spacing w:after="0" w:line="360" w:lineRule="auto"/>
              <w:ind w:firstLine="360"/>
              <w:jc w:val="center"/>
              <w:rPr>
                <w:rFonts w:ascii="Times New Roman" w:hAnsi="Times New Roman" w:cs="Times New Roman"/>
                <w:color w:val="60CAF3" w:themeColor="accent4" w:themeTint="99"/>
              </w:rPr>
            </w:pPr>
            <w:r w:rsidRPr="007359DD">
              <w:rPr>
                <w:rFonts w:ascii="Times New Roman" w:hAnsi="Times New Roman" w:cs="Times New Roman"/>
                <w:b/>
                <w:bCs/>
                <w:color w:val="60CAF3" w:themeColor="accent4" w:themeTint="99"/>
              </w:rPr>
              <w:t>Haddad (2018)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112387F" w14:textId="77777777" w:rsidR="007359DD" w:rsidRPr="007359DD" w:rsidRDefault="007359DD" w:rsidP="007359DD">
            <w:pPr>
              <w:spacing w:after="0" w:line="360" w:lineRule="auto"/>
              <w:ind w:firstLine="360"/>
              <w:jc w:val="center"/>
              <w:rPr>
                <w:rFonts w:ascii="Times New Roman" w:hAnsi="Times New Roman" w:cs="Times New Roman"/>
                <w:color w:val="60CAF3" w:themeColor="accent4" w:themeTint="99"/>
              </w:rPr>
            </w:pPr>
            <w:r w:rsidRPr="007359DD">
              <w:rPr>
                <w:rFonts w:ascii="Times New Roman" w:hAnsi="Times New Roman" w:cs="Times New Roman"/>
                <w:b/>
                <w:bCs/>
                <w:color w:val="60CAF3" w:themeColor="accent4" w:themeTint="99"/>
              </w:rPr>
              <w:t>Bolsonaro (2018)</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30E4D28" w14:textId="77777777" w:rsidR="007359DD" w:rsidRPr="007359DD" w:rsidRDefault="007359DD" w:rsidP="007359DD">
            <w:pPr>
              <w:spacing w:after="0" w:line="360" w:lineRule="auto"/>
              <w:ind w:firstLine="360"/>
              <w:jc w:val="center"/>
              <w:rPr>
                <w:rFonts w:ascii="Times New Roman" w:hAnsi="Times New Roman" w:cs="Times New Roman"/>
                <w:color w:val="00B050"/>
              </w:rPr>
            </w:pPr>
            <w:r w:rsidRPr="007359DD">
              <w:rPr>
                <w:rFonts w:ascii="Times New Roman" w:hAnsi="Times New Roman" w:cs="Times New Roman"/>
                <w:b/>
                <w:bCs/>
                <w:color w:val="00B050"/>
              </w:rPr>
              <w:t>Lula (2022)</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36B2DC76" w14:textId="77777777" w:rsidR="007359DD" w:rsidRPr="007359DD" w:rsidRDefault="007359DD" w:rsidP="007359DD">
            <w:pPr>
              <w:spacing w:after="0" w:line="360" w:lineRule="auto"/>
              <w:ind w:firstLine="360"/>
              <w:jc w:val="center"/>
              <w:rPr>
                <w:rFonts w:ascii="Times New Roman" w:hAnsi="Times New Roman" w:cs="Times New Roman"/>
                <w:color w:val="00B050"/>
              </w:rPr>
            </w:pPr>
            <w:r w:rsidRPr="007359DD">
              <w:rPr>
                <w:rFonts w:ascii="Times New Roman" w:hAnsi="Times New Roman" w:cs="Times New Roman"/>
                <w:b/>
                <w:bCs/>
                <w:color w:val="00B050"/>
              </w:rPr>
              <w:t>Bolsonaro (2022)</w:t>
            </w:r>
          </w:p>
        </w:tc>
      </w:tr>
      <w:tr w:rsidR="007359DD" w:rsidRPr="007359DD" w14:paraId="50C7A3D1"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E644B49" w14:textId="77777777" w:rsidR="007359DD" w:rsidRPr="007359DD" w:rsidRDefault="007359DD" w:rsidP="007359DD">
            <w:pPr>
              <w:spacing w:after="0" w:line="360" w:lineRule="auto"/>
              <w:ind w:firstLine="360"/>
              <w:jc w:val="center"/>
              <w:rPr>
                <w:rFonts w:ascii="Times New Roman" w:hAnsi="Times New Roman" w:cs="Times New Roman"/>
              </w:rPr>
            </w:pPr>
            <w:r w:rsidRPr="007359DD">
              <w:rPr>
                <w:rFonts w:ascii="Times New Roman" w:hAnsi="Times New Roman" w:cs="Times New Roman"/>
                <w:b/>
                <w:bCs/>
              </w:rPr>
              <w:t>Economia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8A8E878" w14:textId="77777777" w:rsidR="007359DD" w:rsidRPr="007359DD" w:rsidRDefault="007359DD" w:rsidP="007359DD">
            <w:pPr>
              <w:spacing w:after="0" w:line="360" w:lineRule="auto"/>
              <w:ind w:firstLine="360"/>
              <w:jc w:val="center"/>
              <w:rPr>
                <w:rFonts w:ascii="Times New Roman" w:hAnsi="Times New Roman" w:cs="Times New Roman"/>
                <w:color w:val="60CAF3" w:themeColor="accent4" w:themeTint="99"/>
              </w:rPr>
            </w:pPr>
            <w:r w:rsidRPr="007359DD">
              <w:rPr>
                <w:rFonts w:ascii="Times New Roman" w:hAnsi="Times New Roman" w:cs="Times New Roman"/>
                <w:color w:val="60CAF3" w:themeColor="accent4" w:themeTint="99"/>
              </w:rPr>
              <w:t>-1,5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52EAF8DE" w14:textId="77777777" w:rsidR="007359DD" w:rsidRPr="007359DD" w:rsidRDefault="007359DD" w:rsidP="007359DD">
            <w:pPr>
              <w:spacing w:after="0" w:line="360" w:lineRule="auto"/>
              <w:ind w:firstLine="360"/>
              <w:jc w:val="center"/>
              <w:rPr>
                <w:rFonts w:ascii="Times New Roman" w:hAnsi="Times New Roman" w:cs="Times New Roman"/>
                <w:color w:val="60CAF3" w:themeColor="accent4" w:themeTint="99"/>
              </w:rPr>
            </w:pPr>
            <w:r w:rsidRPr="007359DD">
              <w:rPr>
                <w:rFonts w:ascii="Times New Roman" w:hAnsi="Times New Roman" w:cs="Times New Roman"/>
                <w:color w:val="60CAF3" w:themeColor="accent4" w:themeTint="99"/>
              </w:rPr>
              <w:t>+1,5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B5A3C1C" w14:textId="77777777" w:rsidR="007359DD" w:rsidRPr="007359DD" w:rsidRDefault="007359DD" w:rsidP="007359DD">
            <w:pPr>
              <w:spacing w:after="0" w:line="360" w:lineRule="auto"/>
              <w:ind w:firstLine="360"/>
              <w:jc w:val="center"/>
              <w:rPr>
                <w:rFonts w:ascii="Times New Roman" w:hAnsi="Times New Roman" w:cs="Times New Roman"/>
                <w:color w:val="00B050"/>
              </w:rPr>
            </w:pPr>
            <w:r w:rsidRPr="007359DD">
              <w:rPr>
                <w:rFonts w:ascii="Times New Roman" w:hAnsi="Times New Roman" w:cs="Times New Roman"/>
                <w:color w:val="00B050"/>
              </w:rPr>
              <w:t>-1,0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6FC0C161" w14:textId="77777777" w:rsidR="007359DD" w:rsidRPr="007359DD" w:rsidRDefault="007359DD" w:rsidP="007359DD">
            <w:pPr>
              <w:spacing w:after="0" w:line="360" w:lineRule="auto"/>
              <w:ind w:firstLine="360"/>
              <w:jc w:val="center"/>
              <w:rPr>
                <w:rFonts w:ascii="Times New Roman" w:hAnsi="Times New Roman" w:cs="Times New Roman"/>
                <w:color w:val="00B050"/>
              </w:rPr>
            </w:pPr>
            <w:r w:rsidRPr="007359DD">
              <w:rPr>
                <w:rFonts w:ascii="Times New Roman" w:hAnsi="Times New Roman" w:cs="Times New Roman"/>
                <w:color w:val="00B050"/>
              </w:rPr>
              <w:t>+1,0</w:t>
            </w:r>
          </w:p>
        </w:tc>
      </w:tr>
      <w:tr w:rsidR="007359DD" w:rsidRPr="007359DD" w14:paraId="65B61DA2"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5E47340" w14:textId="77777777" w:rsidR="007359DD" w:rsidRPr="007359DD" w:rsidRDefault="007359DD" w:rsidP="007359DD">
            <w:pPr>
              <w:spacing w:after="0" w:line="360" w:lineRule="auto"/>
              <w:ind w:firstLine="360"/>
              <w:jc w:val="center"/>
              <w:rPr>
                <w:rFonts w:ascii="Times New Roman" w:hAnsi="Times New Roman" w:cs="Times New Roman"/>
              </w:rPr>
            </w:pPr>
            <w:r w:rsidRPr="007359DD">
              <w:rPr>
                <w:rFonts w:ascii="Times New Roman" w:hAnsi="Times New Roman" w:cs="Times New Roman"/>
                <w:b/>
                <w:bCs/>
              </w:rPr>
              <w:t>Educação</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8262E6C" w14:textId="77777777" w:rsidR="007359DD" w:rsidRPr="007359DD" w:rsidRDefault="007359DD" w:rsidP="007359DD">
            <w:pPr>
              <w:spacing w:after="0" w:line="360" w:lineRule="auto"/>
              <w:ind w:firstLine="360"/>
              <w:jc w:val="center"/>
              <w:rPr>
                <w:rFonts w:ascii="Times New Roman" w:hAnsi="Times New Roman" w:cs="Times New Roman"/>
                <w:color w:val="60CAF3" w:themeColor="accent4" w:themeTint="99"/>
              </w:rPr>
            </w:pPr>
            <w:r w:rsidRPr="007359DD">
              <w:rPr>
                <w:rFonts w:ascii="Times New Roman" w:hAnsi="Times New Roman" w:cs="Times New Roman"/>
                <w:color w:val="60CAF3" w:themeColor="accent4" w:themeTint="99"/>
              </w:rPr>
              <w:t>-1,5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BCFCCB5" w14:textId="77777777" w:rsidR="007359DD" w:rsidRPr="007359DD" w:rsidRDefault="007359DD" w:rsidP="007359DD">
            <w:pPr>
              <w:spacing w:after="0" w:line="360" w:lineRule="auto"/>
              <w:ind w:firstLine="360"/>
              <w:jc w:val="center"/>
              <w:rPr>
                <w:rFonts w:ascii="Times New Roman" w:hAnsi="Times New Roman" w:cs="Times New Roman"/>
                <w:color w:val="60CAF3" w:themeColor="accent4" w:themeTint="99"/>
              </w:rPr>
            </w:pPr>
            <w:r w:rsidRPr="007359DD">
              <w:rPr>
                <w:rFonts w:ascii="Times New Roman" w:hAnsi="Times New Roman" w:cs="Times New Roman"/>
                <w:color w:val="60CAF3" w:themeColor="accent4" w:themeTint="99"/>
              </w:rPr>
              <w:t>+1,0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DED361D" w14:textId="77777777" w:rsidR="007359DD" w:rsidRPr="007359DD" w:rsidRDefault="007359DD" w:rsidP="007359DD">
            <w:pPr>
              <w:spacing w:after="0" w:line="360" w:lineRule="auto"/>
              <w:ind w:firstLine="360"/>
              <w:jc w:val="center"/>
              <w:rPr>
                <w:rFonts w:ascii="Times New Roman" w:hAnsi="Times New Roman" w:cs="Times New Roman"/>
                <w:color w:val="00B050"/>
              </w:rPr>
            </w:pPr>
            <w:r w:rsidRPr="007359DD">
              <w:rPr>
                <w:rFonts w:ascii="Times New Roman" w:hAnsi="Times New Roman" w:cs="Times New Roman"/>
                <w:color w:val="00B050"/>
              </w:rPr>
              <w:t>-1,0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3041C1D7" w14:textId="77777777" w:rsidR="007359DD" w:rsidRPr="007359DD" w:rsidRDefault="007359DD" w:rsidP="007359DD">
            <w:pPr>
              <w:spacing w:after="0" w:line="360" w:lineRule="auto"/>
              <w:ind w:firstLine="360"/>
              <w:jc w:val="center"/>
              <w:rPr>
                <w:rFonts w:ascii="Times New Roman" w:hAnsi="Times New Roman" w:cs="Times New Roman"/>
                <w:color w:val="00B050"/>
              </w:rPr>
            </w:pPr>
            <w:r w:rsidRPr="007359DD">
              <w:rPr>
                <w:rFonts w:ascii="Times New Roman" w:hAnsi="Times New Roman" w:cs="Times New Roman"/>
                <w:color w:val="00B050"/>
              </w:rPr>
              <w:t>+1,0</w:t>
            </w:r>
          </w:p>
        </w:tc>
      </w:tr>
      <w:tr w:rsidR="007359DD" w:rsidRPr="007359DD" w14:paraId="3B094418"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169BC977" w14:textId="77777777" w:rsidR="007359DD" w:rsidRPr="007359DD" w:rsidRDefault="007359DD" w:rsidP="007359DD">
            <w:pPr>
              <w:spacing w:after="0" w:line="360" w:lineRule="auto"/>
              <w:ind w:firstLine="360"/>
              <w:jc w:val="center"/>
              <w:rPr>
                <w:rFonts w:ascii="Times New Roman" w:hAnsi="Times New Roman" w:cs="Times New Roman"/>
              </w:rPr>
            </w:pPr>
            <w:r w:rsidRPr="007359DD">
              <w:rPr>
                <w:rFonts w:ascii="Times New Roman" w:hAnsi="Times New Roman" w:cs="Times New Roman"/>
                <w:b/>
                <w:bCs/>
              </w:rPr>
              <w:t>Segurança</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18C8623" w14:textId="77777777" w:rsidR="007359DD" w:rsidRPr="007359DD" w:rsidRDefault="007359DD" w:rsidP="007359DD">
            <w:pPr>
              <w:spacing w:after="0" w:line="360" w:lineRule="auto"/>
              <w:ind w:firstLine="360"/>
              <w:jc w:val="center"/>
              <w:rPr>
                <w:rFonts w:ascii="Times New Roman" w:hAnsi="Times New Roman" w:cs="Times New Roman"/>
                <w:color w:val="60CAF3" w:themeColor="accent4" w:themeTint="99"/>
              </w:rPr>
            </w:pPr>
            <w:r w:rsidRPr="007359DD">
              <w:rPr>
                <w:rFonts w:ascii="Times New Roman" w:hAnsi="Times New Roman" w:cs="Times New Roman"/>
                <w:color w:val="60CAF3" w:themeColor="accent4" w:themeTint="99"/>
              </w:rPr>
              <w:t>-1,5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3702D77D" w14:textId="77777777" w:rsidR="007359DD" w:rsidRPr="007359DD" w:rsidRDefault="007359DD" w:rsidP="007359DD">
            <w:pPr>
              <w:spacing w:after="0" w:line="360" w:lineRule="auto"/>
              <w:ind w:firstLine="360"/>
              <w:jc w:val="center"/>
              <w:rPr>
                <w:rFonts w:ascii="Times New Roman" w:hAnsi="Times New Roman" w:cs="Times New Roman"/>
                <w:color w:val="60CAF3" w:themeColor="accent4" w:themeTint="99"/>
              </w:rPr>
            </w:pPr>
            <w:r w:rsidRPr="007359DD">
              <w:rPr>
                <w:rFonts w:ascii="Times New Roman" w:hAnsi="Times New Roman" w:cs="Times New Roman"/>
                <w:color w:val="60CAF3" w:themeColor="accent4" w:themeTint="99"/>
              </w:rPr>
              <w:t>+2,0</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0311AA1C" w14:textId="77777777" w:rsidR="007359DD" w:rsidRPr="007359DD" w:rsidRDefault="007359DD" w:rsidP="007359DD">
            <w:pPr>
              <w:spacing w:after="0" w:line="360" w:lineRule="auto"/>
              <w:ind w:firstLine="360"/>
              <w:jc w:val="center"/>
              <w:rPr>
                <w:rFonts w:ascii="Times New Roman" w:hAnsi="Times New Roman" w:cs="Times New Roman"/>
                <w:color w:val="00B050"/>
              </w:rPr>
            </w:pPr>
            <w:r w:rsidRPr="007359DD">
              <w:rPr>
                <w:rFonts w:ascii="Times New Roman" w:hAnsi="Times New Roman" w:cs="Times New Roman"/>
                <w:color w:val="00B050"/>
              </w:rPr>
              <w:t>-1,5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7B7A387" w14:textId="77777777" w:rsidR="007359DD" w:rsidRPr="007359DD" w:rsidRDefault="007359DD" w:rsidP="007359DD">
            <w:pPr>
              <w:spacing w:after="0" w:line="360" w:lineRule="auto"/>
              <w:ind w:firstLine="360"/>
              <w:jc w:val="center"/>
              <w:rPr>
                <w:rFonts w:ascii="Times New Roman" w:hAnsi="Times New Roman" w:cs="Times New Roman"/>
                <w:color w:val="00B050"/>
              </w:rPr>
            </w:pPr>
            <w:r w:rsidRPr="007359DD">
              <w:rPr>
                <w:rFonts w:ascii="Times New Roman" w:hAnsi="Times New Roman" w:cs="Times New Roman"/>
                <w:color w:val="00B050"/>
              </w:rPr>
              <w:t>+2,0</w:t>
            </w:r>
          </w:p>
        </w:tc>
      </w:tr>
      <w:tr w:rsidR="007359DD" w:rsidRPr="007359DD" w14:paraId="54013D9B" w14:textId="77777777">
        <w:trPr>
          <w:tblCellSpacing w:w="15" w:type="dxa"/>
        </w:trPr>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6D861339" w14:textId="77777777" w:rsidR="007359DD" w:rsidRPr="007359DD" w:rsidRDefault="007359DD" w:rsidP="007359DD">
            <w:pPr>
              <w:spacing w:after="0" w:line="360" w:lineRule="auto"/>
              <w:ind w:firstLine="360"/>
              <w:jc w:val="center"/>
              <w:rPr>
                <w:rFonts w:ascii="Times New Roman" w:hAnsi="Times New Roman" w:cs="Times New Roman"/>
              </w:rPr>
            </w:pPr>
            <w:r w:rsidRPr="007359DD">
              <w:rPr>
                <w:rFonts w:ascii="Times New Roman" w:hAnsi="Times New Roman" w:cs="Times New Roman"/>
                <w:b/>
                <w:bCs/>
              </w:rPr>
              <w:t>PONTUAÇÃO FINAL</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B9C6EFD" w14:textId="77777777" w:rsidR="007359DD" w:rsidRPr="007359DD" w:rsidRDefault="007359DD" w:rsidP="007359DD">
            <w:pPr>
              <w:spacing w:after="0" w:line="360" w:lineRule="auto"/>
              <w:ind w:firstLine="360"/>
              <w:jc w:val="center"/>
              <w:rPr>
                <w:rFonts w:ascii="Times New Roman" w:hAnsi="Times New Roman" w:cs="Times New Roman"/>
                <w:color w:val="60CAF3" w:themeColor="accent4" w:themeTint="99"/>
              </w:rPr>
            </w:pPr>
            <w:r w:rsidRPr="007359DD">
              <w:rPr>
                <w:rFonts w:ascii="Times New Roman" w:hAnsi="Times New Roman" w:cs="Times New Roman"/>
                <w:b/>
                <w:bCs/>
                <w:color w:val="60CAF3" w:themeColor="accent4" w:themeTint="99"/>
              </w:rPr>
              <w:t>-4,5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4B5AAE5C" w14:textId="77777777" w:rsidR="007359DD" w:rsidRPr="007359DD" w:rsidRDefault="007359DD" w:rsidP="007359DD">
            <w:pPr>
              <w:spacing w:after="0" w:line="360" w:lineRule="auto"/>
              <w:ind w:firstLine="360"/>
              <w:jc w:val="center"/>
              <w:rPr>
                <w:rFonts w:ascii="Times New Roman" w:hAnsi="Times New Roman" w:cs="Times New Roman"/>
                <w:color w:val="60CAF3" w:themeColor="accent4" w:themeTint="99"/>
              </w:rPr>
            </w:pPr>
            <w:r w:rsidRPr="007359DD">
              <w:rPr>
                <w:rFonts w:ascii="Times New Roman" w:hAnsi="Times New Roman" w:cs="Times New Roman"/>
                <w:b/>
                <w:bCs/>
                <w:color w:val="60CAF3" w:themeColor="accent4" w:themeTint="99"/>
              </w:rPr>
              <w:t>+4,5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180" w:type="dxa"/>
            </w:tcMar>
            <w:vAlign w:val="center"/>
            <w:hideMark/>
          </w:tcPr>
          <w:p w14:paraId="70DFE014" w14:textId="77777777" w:rsidR="007359DD" w:rsidRPr="007359DD" w:rsidRDefault="007359DD" w:rsidP="007359DD">
            <w:pPr>
              <w:spacing w:after="0" w:line="360" w:lineRule="auto"/>
              <w:ind w:firstLine="360"/>
              <w:jc w:val="center"/>
              <w:rPr>
                <w:rFonts w:ascii="Times New Roman" w:hAnsi="Times New Roman" w:cs="Times New Roman"/>
                <w:color w:val="00B050"/>
              </w:rPr>
            </w:pPr>
            <w:r w:rsidRPr="007359DD">
              <w:rPr>
                <w:rFonts w:ascii="Times New Roman" w:hAnsi="Times New Roman" w:cs="Times New Roman"/>
                <w:b/>
                <w:bCs/>
                <w:color w:val="00B050"/>
              </w:rPr>
              <w:t>-3,5</w:t>
            </w:r>
          </w:p>
        </w:tc>
        <w:tc>
          <w:tcPr>
            <w:tcW w:w="0" w:type="auto"/>
            <w:tcBorders>
              <w:top w:val="single" w:sz="6" w:space="0" w:color="auto"/>
              <w:left w:val="single" w:sz="6" w:space="0" w:color="auto"/>
              <w:bottom w:val="single" w:sz="6" w:space="0" w:color="auto"/>
              <w:right w:val="single" w:sz="6" w:space="0" w:color="auto"/>
            </w:tcBorders>
            <w:tcMar>
              <w:top w:w="240" w:type="dxa"/>
              <w:left w:w="0" w:type="dxa"/>
              <w:bottom w:w="240" w:type="dxa"/>
              <w:right w:w="0" w:type="dxa"/>
            </w:tcMar>
            <w:vAlign w:val="center"/>
            <w:hideMark/>
          </w:tcPr>
          <w:p w14:paraId="57A4453E" w14:textId="77777777" w:rsidR="007359DD" w:rsidRPr="007359DD" w:rsidRDefault="007359DD" w:rsidP="007359DD">
            <w:pPr>
              <w:spacing w:after="0" w:line="360" w:lineRule="auto"/>
              <w:ind w:firstLine="360"/>
              <w:jc w:val="center"/>
              <w:rPr>
                <w:rFonts w:ascii="Times New Roman" w:hAnsi="Times New Roman" w:cs="Times New Roman"/>
                <w:color w:val="00B050"/>
              </w:rPr>
            </w:pPr>
            <w:r w:rsidRPr="007359DD">
              <w:rPr>
                <w:rFonts w:ascii="Times New Roman" w:hAnsi="Times New Roman" w:cs="Times New Roman"/>
                <w:b/>
                <w:bCs/>
                <w:color w:val="00B050"/>
              </w:rPr>
              <w:t>+4,0</w:t>
            </w:r>
          </w:p>
        </w:tc>
      </w:tr>
    </w:tbl>
    <w:p w14:paraId="32BF762A" w14:textId="77777777" w:rsidR="007359DD" w:rsidRPr="004C041A" w:rsidRDefault="007359DD" w:rsidP="004C041A">
      <w:pPr>
        <w:spacing w:after="0" w:line="360" w:lineRule="auto"/>
        <w:ind w:firstLine="360"/>
        <w:jc w:val="both"/>
        <w:rPr>
          <w:rFonts w:ascii="Times New Roman" w:hAnsi="Times New Roman" w:cs="Times New Roman"/>
        </w:rPr>
      </w:pPr>
    </w:p>
    <w:p w14:paraId="329757E3" w14:textId="28295B88" w:rsidR="004C041A" w:rsidRPr="00E93759" w:rsidRDefault="004C041A" w:rsidP="004C041A">
      <w:pPr>
        <w:spacing w:after="0" w:line="360" w:lineRule="auto"/>
        <w:ind w:firstLine="360"/>
        <w:jc w:val="both"/>
        <w:rPr>
          <w:rFonts w:ascii="Times New Roman" w:hAnsi="Times New Roman" w:cs="Times New Roman"/>
        </w:rPr>
      </w:pPr>
      <w:r w:rsidRPr="00E93759">
        <w:rPr>
          <w:rFonts w:ascii="Times New Roman" w:hAnsi="Times New Roman" w:cs="Times New Roman"/>
        </w:rPr>
        <w:t>A representação gráfica dos dados revela uma Polarização Assimétrica em 2022. Enquanto em 2018 os candidatos estavam equidistantes do centro, em 2022 observa-se que o programa da coalizão liderada por Lula fez um movimento de convergência mais nítido em direção ao centro-esquerda.</w:t>
      </w:r>
    </w:p>
    <w:p w14:paraId="439B7E14" w14:textId="77777777" w:rsidR="007359DD" w:rsidRPr="007359DD" w:rsidRDefault="007359DD" w:rsidP="007359DD">
      <w:pPr>
        <w:spacing w:after="0" w:line="360" w:lineRule="auto"/>
        <w:ind w:firstLine="360"/>
        <w:jc w:val="both"/>
        <w:rPr>
          <w:rFonts w:ascii="Times New Roman" w:hAnsi="Times New Roman" w:cs="Times New Roman"/>
        </w:rPr>
      </w:pPr>
      <w:r w:rsidRPr="007359DD">
        <w:rPr>
          <w:rFonts w:ascii="Times New Roman" w:hAnsi="Times New Roman" w:cs="Times New Roman"/>
        </w:rPr>
        <w:lastRenderedPageBreak/>
        <w:t>Este estudo avança na compreensão da política brasileira ao utilizar os Programas de Governo como "lastro" analítico contra as narrativas voláteis das redes sociais. A análise evidencia que a vitória de Lula em 2022 foi precedida por um movimento programático de ampliação de apoios, resultando em um documento mais moderado e focado na "reconstrução" institucional, em contraste com o programa de Haddad em 2018, que possuía uma tonalidade de "resistência" mais à esquerda. Esse movimento tímido ao centro corrobora a tese de que programas formais servem como sinalizadores de previsibilidade para elites e eleitores indecisos.</w:t>
      </w:r>
    </w:p>
    <w:p w14:paraId="3F40AF11" w14:textId="77777777" w:rsidR="007359DD" w:rsidRPr="007359DD" w:rsidRDefault="007359DD" w:rsidP="007359DD">
      <w:pPr>
        <w:spacing w:after="0" w:line="360" w:lineRule="auto"/>
        <w:ind w:firstLine="360"/>
        <w:jc w:val="both"/>
        <w:rPr>
          <w:rFonts w:ascii="Times New Roman" w:hAnsi="Times New Roman" w:cs="Times New Roman"/>
        </w:rPr>
      </w:pPr>
      <w:r w:rsidRPr="007359DD">
        <w:rPr>
          <w:rFonts w:ascii="Times New Roman" w:hAnsi="Times New Roman" w:cs="Times New Roman"/>
        </w:rPr>
        <w:t>Por outro lado, o trabalho apresenta limitações inerentes ao seu recorte: o foco estrito no documento escrito pode ocultar a "agenda oculta" das candidaturas ou o impacto das campanhas negativas que não chegam ao papel. Programas de governo são intenções; a prática política posterior é frequentemente mediada por coalizões parlamentares imprevistas. Assim, pesquisas futuras devem cruzar os dados programáticos aqui apresentados com o monitoramento discursivo em tempo real e a execução orçamentária efetiva, a fim de verificar se a moderação prometida no papel sobrevive à pressão das ruas e às crises de governabilidade.</w:t>
      </w:r>
    </w:p>
    <w:p w14:paraId="6B904B1C" w14:textId="77777777" w:rsidR="0077367C" w:rsidRPr="00E93759" w:rsidRDefault="0077367C" w:rsidP="00772693">
      <w:pPr>
        <w:spacing w:after="0" w:line="360" w:lineRule="auto"/>
        <w:jc w:val="both"/>
        <w:rPr>
          <w:rFonts w:ascii="Times New Roman" w:hAnsi="Times New Roman" w:cs="Times New Roman"/>
          <w:b/>
          <w:bCs/>
        </w:rPr>
      </w:pPr>
    </w:p>
    <w:p w14:paraId="24F389E6" w14:textId="6BBF6CB5" w:rsidR="00F5355A" w:rsidRPr="00E93759" w:rsidRDefault="00772693" w:rsidP="00772693">
      <w:pPr>
        <w:spacing w:after="0" w:line="360" w:lineRule="auto"/>
        <w:jc w:val="both"/>
        <w:rPr>
          <w:rFonts w:ascii="Times New Roman" w:hAnsi="Times New Roman" w:cs="Times New Roman"/>
          <w:b/>
          <w:bCs/>
        </w:rPr>
      </w:pPr>
      <w:r w:rsidRPr="00E93759">
        <w:rPr>
          <w:rFonts w:ascii="Times New Roman" w:hAnsi="Times New Roman" w:cs="Times New Roman"/>
          <w:b/>
          <w:bCs/>
        </w:rPr>
        <w:t xml:space="preserve">6. </w:t>
      </w:r>
      <w:r w:rsidR="00F5355A" w:rsidRPr="00E93759">
        <w:rPr>
          <w:rFonts w:ascii="Times New Roman" w:hAnsi="Times New Roman" w:cs="Times New Roman"/>
          <w:b/>
          <w:bCs/>
        </w:rPr>
        <w:t xml:space="preserve">Referências: </w:t>
      </w:r>
    </w:p>
    <w:p w14:paraId="240D67DC"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ARAÚJO JÚNIOR, Marcondes de Sousa. Esquerda e direita no Brasil: fatores explicativos do posicionamento ideológico do eleitorado. </w:t>
      </w:r>
      <w:r w:rsidRPr="004841DF">
        <w:rPr>
          <w:rFonts w:ascii="Times New Roman" w:hAnsi="Times New Roman" w:cs="Times New Roman"/>
          <w:b/>
          <w:bCs/>
        </w:rPr>
        <w:t>Revista de Sociologia e Política</w:t>
      </w:r>
      <w:r w:rsidRPr="004841DF">
        <w:rPr>
          <w:rFonts w:ascii="Times New Roman" w:hAnsi="Times New Roman" w:cs="Times New Roman"/>
        </w:rPr>
        <w:t>, v. 22, n. 51, p. 25-45, 2014.</w:t>
      </w:r>
    </w:p>
    <w:p w14:paraId="31561F3E"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BOBBIO, Norberto. </w:t>
      </w:r>
      <w:r w:rsidRPr="004841DF">
        <w:rPr>
          <w:rFonts w:ascii="Times New Roman" w:hAnsi="Times New Roman" w:cs="Times New Roman"/>
          <w:b/>
          <w:bCs/>
        </w:rPr>
        <w:t>Direita e esquerda: razões e significados de uma distinção política</w:t>
      </w:r>
      <w:r w:rsidRPr="004841DF">
        <w:rPr>
          <w:rFonts w:ascii="Times New Roman" w:hAnsi="Times New Roman" w:cs="Times New Roman"/>
        </w:rPr>
        <w:t>. Tradução de Marco Aurélio Nogueira. 3. ed. rev. São Paulo: Editora UNESP, 2011.</w:t>
      </w:r>
    </w:p>
    <w:p w14:paraId="4FF94977"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BOLSONARO, Jair Messias. </w:t>
      </w:r>
      <w:r w:rsidRPr="004841DF">
        <w:rPr>
          <w:rFonts w:ascii="Times New Roman" w:hAnsi="Times New Roman" w:cs="Times New Roman"/>
          <w:b/>
          <w:bCs/>
        </w:rPr>
        <w:t>O Caminho da Prosperidade</w:t>
      </w:r>
      <w:r w:rsidRPr="004841DF">
        <w:rPr>
          <w:rFonts w:ascii="Times New Roman" w:hAnsi="Times New Roman" w:cs="Times New Roman"/>
        </w:rPr>
        <w:t xml:space="preserve">: Proposta de Plano de Governo. Brasília: TSE, 2018. Disponível em: </w:t>
      </w:r>
      <w:hyperlink r:id="rId8" w:tgtFrame="_blank" w:history="1">
        <w:r w:rsidRPr="004841DF">
          <w:rPr>
            <w:rStyle w:val="Hyperlink"/>
            <w:rFonts w:ascii="Times New Roman" w:hAnsi="Times New Roman" w:cs="Times New Roman"/>
          </w:rPr>
          <w:t>https://divulgacandcontas.tse.jus.br/</w:t>
        </w:r>
      </w:hyperlink>
      <w:r w:rsidRPr="004841DF">
        <w:rPr>
          <w:rFonts w:ascii="Times New Roman" w:hAnsi="Times New Roman" w:cs="Times New Roman"/>
        </w:rPr>
        <w:t>.</w:t>
      </w:r>
    </w:p>
    <w:p w14:paraId="2984400F"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BOLSONARO, Jair Messias. </w:t>
      </w:r>
      <w:r w:rsidRPr="004841DF">
        <w:rPr>
          <w:rFonts w:ascii="Times New Roman" w:hAnsi="Times New Roman" w:cs="Times New Roman"/>
          <w:b/>
          <w:bCs/>
        </w:rPr>
        <w:t>Pelo Bem do Brasil</w:t>
      </w:r>
      <w:r w:rsidRPr="004841DF">
        <w:rPr>
          <w:rFonts w:ascii="Times New Roman" w:hAnsi="Times New Roman" w:cs="Times New Roman"/>
        </w:rPr>
        <w:t xml:space="preserve">: Diretrizes para o Programa de Governo 2023-2026. Brasília: TSE, 2022. Disponível em: </w:t>
      </w:r>
      <w:hyperlink r:id="rId9" w:tgtFrame="_blank" w:history="1">
        <w:r w:rsidRPr="004841DF">
          <w:rPr>
            <w:rStyle w:val="Hyperlink"/>
            <w:rFonts w:ascii="Times New Roman" w:hAnsi="Times New Roman" w:cs="Times New Roman"/>
          </w:rPr>
          <w:t>https://divulgacandcontas.tse.jus.br/</w:t>
        </w:r>
      </w:hyperlink>
      <w:r w:rsidRPr="004841DF">
        <w:rPr>
          <w:rFonts w:ascii="Times New Roman" w:hAnsi="Times New Roman" w:cs="Times New Roman"/>
        </w:rPr>
        <w:t>.</w:t>
      </w:r>
    </w:p>
    <w:p w14:paraId="519A5385"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BOURDIEU, Pierre. </w:t>
      </w:r>
      <w:r w:rsidRPr="004841DF">
        <w:rPr>
          <w:rFonts w:ascii="Times New Roman" w:hAnsi="Times New Roman" w:cs="Times New Roman"/>
          <w:b/>
          <w:bCs/>
        </w:rPr>
        <w:t>O Poder Simbólico</w:t>
      </w:r>
      <w:r w:rsidRPr="004841DF">
        <w:rPr>
          <w:rFonts w:ascii="Times New Roman" w:hAnsi="Times New Roman" w:cs="Times New Roman"/>
        </w:rPr>
        <w:t>. Tradução de Fernando Tomaz. 2. ed. Rio de Janeiro: Bertrand Brasil, 1998.</w:t>
      </w:r>
    </w:p>
    <w:p w14:paraId="2882E784"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BRASIL. Senado Federal. </w:t>
      </w:r>
      <w:r w:rsidRPr="004841DF">
        <w:rPr>
          <w:rFonts w:ascii="Times New Roman" w:hAnsi="Times New Roman" w:cs="Times New Roman"/>
          <w:b/>
          <w:bCs/>
        </w:rPr>
        <w:t>DataSenado: Pesquisa Nacional sobre Posicionamento Político – 2024</w:t>
      </w:r>
      <w:r w:rsidRPr="004841DF">
        <w:rPr>
          <w:rFonts w:ascii="Times New Roman" w:hAnsi="Times New Roman" w:cs="Times New Roman"/>
        </w:rPr>
        <w:t xml:space="preserve">. Brasília: Senado Federal, 2024. Disponível em: </w:t>
      </w:r>
      <w:hyperlink r:id="rId10" w:tgtFrame="_blank" w:history="1">
        <w:r w:rsidRPr="004841DF">
          <w:rPr>
            <w:rStyle w:val="Hyperlink"/>
            <w:rFonts w:ascii="Times New Roman" w:hAnsi="Times New Roman" w:cs="Times New Roman"/>
          </w:rPr>
          <w:t>https://www12.senado.leg.br/institucional/datasenado</w:t>
        </w:r>
      </w:hyperlink>
      <w:r w:rsidRPr="004841DF">
        <w:rPr>
          <w:rFonts w:ascii="Times New Roman" w:hAnsi="Times New Roman" w:cs="Times New Roman"/>
        </w:rPr>
        <w:t>. Acesso em: 28 nov. 2025.</w:t>
      </w:r>
    </w:p>
    <w:p w14:paraId="40F87065"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lastRenderedPageBreak/>
        <w:t xml:space="preserve">BRASIL. Tribunal Superior Eleitoral (TSE). </w:t>
      </w:r>
      <w:r w:rsidRPr="004841DF">
        <w:rPr>
          <w:rFonts w:ascii="Times New Roman" w:hAnsi="Times New Roman" w:cs="Times New Roman"/>
          <w:b/>
          <w:bCs/>
        </w:rPr>
        <w:t>Estatísticas eleitorais: abstenção, votos brancos e nulos – Eleições 2024</w:t>
      </w:r>
      <w:r w:rsidRPr="004841DF">
        <w:rPr>
          <w:rFonts w:ascii="Times New Roman" w:hAnsi="Times New Roman" w:cs="Times New Roman"/>
        </w:rPr>
        <w:t xml:space="preserve">. Brasília: TSE, 2024. Disponível em: </w:t>
      </w:r>
      <w:hyperlink r:id="rId11" w:tgtFrame="_blank" w:history="1">
        <w:r w:rsidRPr="004841DF">
          <w:rPr>
            <w:rStyle w:val="Hyperlink"/>
            <w:rFonts w:ascii="Times New Roman" w:hAnsi="Times New Roman" w:cs="Times New Roman"/>
          </w:rPr>
          <w:t>https://www.tse.jus.br/</w:t>
        </w:r>
      </w:hyperlink>
      <w:r w:rsidRPr="004841DF">
        <w:rPr>
          <w:rFonts w:ascii="Times New Roman" w:hAnsi="Times New Roman" w:cs="Times New Roman"/>
        </w:rPr>
        <w:t>. Acesso em: 01 dez. 2025.</w:t>
      </w:r>
    </w:p>
    <w:p w14:paraId="15FCAA6F"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CESARINO, Letícia. </w:t>
      </w:r>
      <w:proofErr w:type="spellStart"/>
      <w:r w:rsidRPr="004841DF">
        <w:rPr>
          <w:rFonts w:ascii="Times New Roman" w:hAnsi="Times New Roman" w:cs="Times New Roman"/>
        </w:rPr>
        <w:t>On</w:t>
      </w:r>
      <w:proofErr w:type="spellEnd"/>
      <w:r w:rsidRPr="004841DF">
        <w:rPr>
          <w:rFonts w:ascii="Times New Roman" w:hAnsi="Times New Roman" w:cs="Times New Roman"/>
        </w:rPr>
        <w:t xml:space="preserve"> digital </w:t>
      </w:r>
      <w:proofErr w:type="spellStart"/>
      <w:r w:rsidRPr="004841DF">
        <w:rPr>
          <w:rFonts w:ascii="Times New Roman" w:hAnsi="Times New Roman" w:cs="Times New Roman"/>
        </w:rPr>
        <w:t>populism</w:t>
      </w:r>
      <w:proofErr w:type="spellEnd"/>
      <w:r w:rsidRPr="004841DF">
        <w:rPr>
          <w:rFonts w:ascii="Times New Roman" w:hAnsi="Times New Roman" w:cs="Times New Roman"/>
        </w:rPr>
        <w:t xml:space="preserve"> in </w:t>
      </w:r>
      <w:proofErr w:type="spellStart"/>
      <w:r w:rsidRPr="004841DF">
        <w:rPr>
          <w:rFonts w:ascii="Times New Roman" w:hAnsi="Times New Roman" w:cs="Times New Roman"/>
        </w:rPr>
        <w:t>Brazil</w:t>
      </w:r>
      <w:proofErr w:type="spellEnd"/>
      <w:r w:rsidRPr="004841DF">
        <w:rPr>
          <w:rFonts w:ascii="Times New Roman" w:hAnsi="Times New Roman" w:cs="Times New Roman"/>
        </w:rPr>
        <w:t xml:space="preserve">: Fake </w:t>
      </w:r>
      <w:proofErr w:type="spellStart"/>
      <w:r w:rsidRPr="004841DF">
        <w:rPr>
          <w:rFonts w:ascii="Times New Roman" w:hAnsi="Times New Roman" w:cs="Times New Roman"/>
        </w:rPr>
        <w:t>news</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cybersecurity</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and</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the</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spectrum</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of</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the</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identity</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b/>
          <w:bCs/>
        </w:rPr>
        <w:t>Anthropology</w:t>
      </w:r>
      <w:proofErr w:type="spellEnd"/>
      <w:r w:rsidRPr="004841DF">
        <w:rPr>
          <w:rFonts w:ascii="Times New Roman" w:hAnsi="Times New Roman" w:cs="Times New Roman"/>
          <w:b/>
          <w:bCs/>
        </w:rPr>
        <w:t xml:space="preserve"> News</w:t>
      </w:r>
      <w:r w:rsidRPr="004841DF">
        <w:rPr>
          <w:rFonts w:ascii="Times New Roman" w:hAnsi="Times New Roman" w:cs="Times New Roman"/>
        </w:rPr>
        <w:t>, v. 60, n. 1, p. 52-57, 2019.</w:t>
      </w:r>
    </w:p>
    <w:p w14:paraId="192332B4"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DOWNS, Anthony. </w:t>
      </w:r>
      <w:proofErr w:type="spellStart"/>
      <w:r w:rsidRPr="004841DF">
        <w:rPr>
          <w:rFonts w:ascii="Times New Roman" w:hAnsi="Times New Roman" w:cs="Times New Roman"/>
          <w:b/>
          <w:bCs/>
        </w:rPr>
        <w:t>An</w:t>
      </w:r>
      <w:proofErr w:type="spellEnd"/>
      <w:r w:rsidRPr="004841DF">
        <w:rPr>
          <w:rFonts w:ascii="Times New Roman" w:hAnsi="Times New Roman" w:cs="Times New Roman"/>
          <w:b/>
          <w:bCs/>
        </w:rPr>
        <w:t xml:space="preserve"> Economic </w:t>
      </w:r>
      <w:proofErr w:type="spellStart"/>
      <w:r w:rsidRPr="004841DF">
        <w:rPr>
          <w:rFonts w:ascii="Times New Roman" w:hAnsi="Times New Roman" w:cs="Times New Roman"/>
          <w:b/>
          <w:bCs/>
        </w:rPr>
        <w:t>Theory</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of</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Democracy</w:t>
      </w:r>
      <w:proofErr w:type="spellEnd"/>
      <w:r w:rsidRPr="004841DF">
        <w:rPr>
          <w:rFonts w:ascii="Times New Roman" w:hAnsi="Times New Roman" w:cs="Times New Roman"/>
        </w:rPr>
        <w:t>. New York: Harper &amp; Row, 1957.</w:t>
      </w:r>
    </w:p>
    <w:p w14:paraId="765CD6B7"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HADDAD, Fernando. </w:t>
      </w:r>
      <w:r w:rsidRPr="004841DF">
        <w:rPr>
          <w:rFonts w:ascii="Times New Roman" w:hAnsi="Times New Roman" w:cs="Times New Roman"/>
          <w:b/>
          <w:bCs/>
        </w:rPr>
        <w:t>Plano de Governo 2018</w:t>
      </w:r>
      <w:r w:rsidRPr="004841DF">
        <w:rPr>
          <w:rFonts w:ascii="Times New Roman" w:hAnsi="Times New Roman" w:cs="Times New Roman"/>
        </w:rPr>
        <w:t xml:space="preserve">: O Brasil Feliz de Novo. Brasília: TSE, 2018. Disponível em: </w:t>
      </w:r>
      <w:hyperlink r:id="rId12" w:tgtFrame="_blank" w:history="1">
        <w:r w:rsidRPr="004841DF">
          <w:rPr>
            <w:rStyle w:val="Hyperlink"/>
            <w:rFonts w:ascii="Times New Roman" w:hAnsi="Times New Roman" w:cs="Times New Roman"/>
          </w:rPr>
          <w:t>https://divulgacandcontas.tse.jus.br/</w:t>
        </w:r>
      </w:hyperlink>
      <w:r w:rsidRPr="004841DF">
        <w:rPr>
          <w:rFonts w:ascii="Times New Roman" w:hAnsi="Times New Roman" w:cs="Times New Roman"/>
        </w:rPr>
        <w:t>.</w:t>
      </w:r>
    </w:p>
    <w:p w14:paraId="62A61494"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JOHNSON, Allan G. </w:t>
      </w:r>
      <w:r w:rsidRPr="004841DF">
        <w:rPr>
          <w:rFonts w:ascii="Times New Roman" w:hAnsi="Times New Roman" w:cs="Times New Roman"/>
          <w:b/>
          <w:bCs/>
        </w:rPr>
        <w:t>Dicionário de Sociologia</w:t>
      </w:r>
      <w:r w:rsidRPr="004841DF">
        <w:rPr>
          <w:rFonts w:ascii="Times New Roman" w:hAnsi="Times New Roman" w:cs="Times New Roman"/>
        </w:rPr>
        <w:t>: Guia Prático da Linguagem Sociológica. Rio de Janeiro: Zahar, 1997.</w:t>
      </w:r>
    </w:p>
    <w:p w14:paraId="18705366"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KONDER, Leandro. </w:t>
      </w:r>
      <w:r w:rsidRPr="004841DF">
        <w:rPr>
          <w:rFonts w:ascii="Times New Roman" w:hAnsi="Times New Roman" w:cs="Times New Roman"/>
          <w:b/>
          <w:bCs/>
        </w:rPr>
        <w:t>A questão da ideologia</w:t>
      </w:r>
      <w:r w:rsidRPr="004841DF">
        <w:rPr>
          <w:rFonts w:ascii="Times New Roman" w:hAnsi="Times New Roman" w:cs="Times New Roman"/>
        </w:rPr>
        <w:t>. Petrópolis: Expresso Popular, 2020.</w:t>
      </w:r>
    </w:p>
    <w:p w14:paraId="283C3D88"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LINDBECK, Assar; WEIBULL, </w:t>
      </w:r>
      <w:proofErr w:type="spellStart"/>
      <w:r w:rsidRPr="004841DF">
        <w:rPr>
          <w:rFonts w:ascii="Times New Roman" w:hAnsi="Times New Roman" w:cs="Times New Roman"/>
        </w:rPr>
        <w:t>Jörgen</w:t>
      </w:r>
      <w:proofErr w:type="spellEnd"/>
      <w:r w:rsidRPr="004841DF">
        <w:rPr>
          <w:rFonts w:ascii="Times New Roman" w:hAnsi="Times New Roman" w:cs="Times New Roman"/>
        </w:rPr>
        <w:t xml:space="preserve"> W. </w:t>
      </w:r>
      <w:proofErr w:type="spellStart"/>
      <w:r w:rsidRPr="004841DF">
        <w:rPr>
          <w:rFonts w:ascii="Times New Roman" w:hAnsi="Times New Roman" w:cs="Times New Roman"/>
        </w:rPr>
        <w:t>Balanced</w:t>
      </w:r>
      <w:proofErr w:type="spellEnd"/>
      <w:r w:rsidRPr="004841DF">
        <w:rPr>
          <w:rFonts w:ascii="Times New Roman" w:hAnsi="Times New Roman" w:cs="Times New Roman"/>
        </w:rPr>
        <w:t xml:space="preserve">-budget </w:t>
      </w:r>
      <w:proofErr w:type="spellStart"/>
      <w:r w:rsidRPr="004841DF">
        <w:rPr>
          <w:rFonts w:ascii="Times New Roman" w:hAnsi="Times New Roman" w:cs="Times New Roman"/>
        </w:rPr>
        <w:t>redistribution</w:t>
      </w:r>
      <w:proofErr w:type="spellEnd"/>
      <w:r w:rsidRPr="004841DF">
        <w:rPr>
          <w:rFonts w:ascii="Times New Roman" w:hAnsi="Times New Roman" w:cs="Times New Roman"/>
        </w:rPr>
        <w:t xml:space="preserve"> as </w:t>
      </w:r>
      <w:proofErr w:type="spellStart"/>
      <w:r w:rsidRPr="004841DF">
        <w:rPr>
          <w:rFonts w:ascii="Times New Roman" w:hAnsi="Times New Roman" w:cs="Times New Roman"/>
        </w:rPr>
        <w:t>the</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outcome</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of</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political</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competition</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b/>
          <w:bCs/>
        </w:rPr>
        <w:t>Public</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Choice</w:t>
      </w:r>
      <w:proofErr w:type="spellEnd"/>
      <w:r w:rsidRPr="004841DF">
        <w:rPr>
          <w:rFonts w:ascii="Times New Roman" w:hAnsi="Times New Roman" w:cs="Times New Roman"/>
        </w:rPr>
        <w:t>, v. 52, n. 3, p. 273-297, 1987.</w:t>
      </w:r>
    </w:p>
    <w:p w14:paraId="2A115D34"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MANIFESTO PROJECT. </w:t>
      </w:r>
      <w:r w:rsidRPr="004841DF">
        <w:rPr>
          <w:rFonts w:ascii="Times New Roman" w:hAnsi="Times New Roman" w:cs="Times New Roman"/>
          <w:b/>
          <w:bCs/>
        </w:rPr>
        <w:t xml:space="preserve">Manifesto Project </w:t>
      </w:r>
      <w:proofErr w:type="spellStart"/>
      <w:r w:rsidRPr="004841DF">
        <w:rPr>
          <w:rFonts w:ascii="Times New Roman" w:hAnsi="Times New Roman" w:cs="Times New Roman"/>
          <w:b/>
          <w:bCs/>
        </w:rPr>
        <w:t>Database</w:t>
      </w:r>
      <w:proofErr w:type="spellEnd"/>
      <w:r w:rsidRPr="004841DF">
        <w:rPr>
          <w:rFonts w:ascii="Times New Roman" w:hAnsi="Times New Roman" w:cs="Times New Roman"/>
        </w:rPr>
        <w:t xml:space="preserve">. WZB Berlin Social Science Center, 2024. Disponível em: </w:t>
      </w:r>
      <w:hyperlink r:id="rId13" w:tgtFrame="_blank" w:history="1">
        <w:r w:rsidRPr="004841DF">
          <w:rPr>
            <w:rStyle w:val="Hyperlink"/>
            <w:rFonts w:ascii="Times New Roman" w:hAnsi="Times New Roman" w:cs="Times New Roman"/>
          </w:rPr>
          <w:t>https://manifesto-project.wzb.eu/</w:t>
        </w:r>
      </w:hyperlink>
      <w:r w:rsidRPr="004841DF">
        <w:rPr>
          <w:rFonts w:ascii="Times New Roman" w:hAnsi="Times New Roman" w:cs="Times New Roman"/>
        </w:rPr>
        <w:t>. Acesso em: 04 dez. 2025.</w:t>
      </w:r>
    </w:p>
    <w:p w14:paraId="773162B6"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MARX, Karl; ENGELS, Friedrich. </w:t>
      </w:r>
      <w:r w:rsidRPr="004841DF">
        <w:rPr>
          <w:rFonts w:ascii="Times New Roman" w:hAnsi="Times New Roman" w:cs="Times New Roman"/>
          <w:b/>
          <w:bCs/>
        </w:rPr>
        <w:t>A Ideologia Alemã</w:t>
      </w:r>
      <w:r w:rsidRPr="004841DF">
        <w:rPr>
          <w:rFonts w:ascii="Times New Roman" w:hAnsi="Times New Roman" w:cs="Times New Roman"/>
        </w:rPr>
        <w:t>. São Paulo: Boitempo, 2007.</w:t>
      </w:r>
    </w:p>
    <w:p w14:paraId="3CA4E39E"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MELTZER, Allan H.; RICHARD, Scott F. A </w:t>
      </w:r>
      <w:proofErr w:type="spellStart"/>
      <w:r w:rsidRPr="004841DF">
        <w:rPr>
          <w:rFonts w:ascii="Times New Roman" w:hAnsi="Times New Roman" w:cs="Times New Roman"/>
        </w:rPr>
        <w:t>Rational</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Theory</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of</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the</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Size</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of</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Government</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b/>
          <w:bCs/>
        </w:rPr>
        <w:t>Journal</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of</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Political</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Economy</w:t>
      </w:r>
      <w:proofErr w:type="spellEnd"/>
      <w:r w:rsidRPr="004841DF">
        <w:rPr>
          <w:rFonts w:ascii="Times New Roman" w:hAnsi="Times New Roman" w:cs="Times New Roman"/>
        </w:rPr>
        <w:t>, v. 89, n. 5, p. 914-927, 1981.</w:t>
      </w:r>
    </w:p>
    <w:p w14:paraId="1CBCF5D9"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NOËL, Alain; THÉRIEN, Jean-Philippe. </w:t>
      </w:r>
      <w:proofErr w:type="spellStart"/>
      <w:r w:rsidRPr="004841DF">
        <w:rPr>
          <w:rFonts w:ascii="Times New Roman" w:hAnsi="Times New Roman" w:cs="Times New Roman"/>
          <w:b/>
          <w:bCs/>
        </w:rPr>
        <w:t>Left</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and</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Right</w:t>
      </w:r>
      <w:proofErr w:type="spellEnd"/>
      <w:r w:rsidRPr="004841DF">
        <w:rPr>
          <w:rFonts w:ascii="Times New Roman" w:hAnsi="Times New Roman" w:cs="Times New Roman"/>
          <w:b/>
          <w:bCs/>
        </w:rPr>
        <w:t xml:space="preserve"> in Global Politics</w:t>
      </w:r>
      <w:r w:rsidRPr="004841DF">
        <w:rPr>
          <w:rFonts w:ascii="Times New Roman" w:hAnsi="Times New Roman" w:cs="Times New Roman"/>
        </w:rPr>
        <w:t xml:space="preserve">. Cambridge: Cambridge </w:t>
      </w:r>
      <w:proofErr w:type="spellStart"/>
      <w:r w:rsidRPr="004841DF">
        <w:rPr>
          <w:rFonts w:ascii="Times New Roman" w:hAnsi="Times New Roman" w:cs="Times New Roman"/>
        </w:rPr>
        <w:t>University</w:t>
      </w:r>
      <w:proofErr w:type="spellEnd"/>
      <w:r w:rsidRPr="004841DF">
        <w:rPr>
          <w:rFonts w:ascii="Times New Roman" w:hAnsi="Times New Roman" w:cs="Times New Roman"/>
        </w:rPr>
        <w:t xml:space="preserve"> Press, 2008.</w:t>
      </w:r>
    </w:p>
    <w:p w14:paraId="18304A52"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NUNES, Felipe. </w:t>
      </w:r>
      <w:r w:rsidRPr="004841DF">
        <w:rPr>
          <w:rFonts w:ascii="Times New Roman" w:hAnsi="Times New Roman" w:cs="Times New Roman"/>
          <w:b/>
          <w:bCs/>
        </w:rPr>
        <w:t>Brasil no Espelho</w:t>
      </w:r>
      <w:r w:rsidRPr="004841DF">
        <w:rPr>
          <w:rFonts w:ascii="Times New Roman" w:hAnsi="Times New Roman" w:cs="Times New Roman"/>
        </w:rPr>
        <w:t xml:space="preserve">: Séries </w:t>
      </w:r>
      <w:proofErr w:type="spellStart"/>
      <w:r w:rsidRPr="004841DF">
        <w:rPr>
          <w:rFonts w:ascii="Times New Roman" w:hAnsi="Times New Roman" w:cs="Times New Roman"/>
        </w:rPr>
        <w:t>Quaest</w:t>
      </w:r>
      <w:proofErr w:type="spellEnd"/>
      <w:r w:rsidRPr="004841DF">
        <w:rPr>
          <w:rFonts w:ascii="Times New Roman" w:hAnsi="Times New Roman" w:cs="Times New Roman"/>
        </w:rPr>
        <w:t xml:space="preserve"> sobre a identidade política do brasileiro. Belo Horizonte: </w:t>
      </w:r>
      <w:proofErr w:type="spellStart"/>
      <w:r w:rsidRPr="004841DF">
        <w:rPr>
          <w:rFonts w:ascii="Times New Roman" w:hAnsi="Times New Roman" w:cs="Times New Roman"/>
        </w:rPr>
        <w:t>Quaest</w:t>
      </w:r>
      <w:proofErr w:type="spellEnd"/>
      <w:r w:rsidRPr="004841DF">
        <w:rPr>
          <w:rFonts w:ascii="Times New Roman" w:hAnsi="Times New Roman" w:cs="Times New Roman"/>
        </w:rPr>
        <w:t>, 2024.</w:t>
      </w:r>
    </w:p>
    <w:p w14:paraId="0F9FE004"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OFFE, Claus. </w:t>
      </w:r>
      <w:r w:rsidRPr="004841DF">
        <w:rPr>
          <w:rFonts w:ascii="Times New Roman" w:hAnsi="Times New Roman" w:cs="Times New Roman"/>
          <w:b/>
          <w:bCs/>
        </w:rPr>
        <w:t>Problemas Estruturais do Estado Capitalista</w:t>
      </w:r>
      <w:r w:rsidRPr="004841DF">
        <w:rPr>
          <w:rFonts w:ascii="Times New Roman" w:hAnsi="Times New Roman" w:cs="Times New Roman"/>
        </w:rPr>
        <w:t>. Rio de Janeiro: Tempo Brasileiro, 1984.</w:t>
      </w:r>
    </w:p>
    <w:p w14:paraId="0361C416"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PETROCIK, John R. </w:t>
      </w:r>
      <w:proofErr w:type="spellStart"/>
      <w:r w:rsidRPr="004841DF">
        <w:rPr>
          <w:rFonts w:ascii="Times New Roman" w:hAnsi="Times New Roman" w:cs="Times New Roman"/>
        </w:rPr>
        <w:t>Issue</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Ownership</w:t>
      </w:r>
      <w:proofErr w:type="spellEnd"/>
      <w:r w:rsidRPr="004841DF">
        <w:rPr>
          <w:rFonts w:ascii="Times New Roman" w:hAnsi="Times New Roman" w:cs="Times New Roman"/>
        </w:rPr>
        <w:t xml:space="preserve"> in </w:t>
      </w:r>
      <w:proofErr w:type="spellStart"/>
      <w:r w:rsidRPr="004841DF">
        <w:rPr>
          <w:rFonts w:ascii="Times New Roman" w:hAnsi="Times New Roman" w:cs="Times New Roman"/>
        </w:rPr>
        <w:t>Presidential</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Elections</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with</w:t>
      </w:r>
      <w:proofErr w:type="spellEnd"/>
      <w:r w:rsidRPr="004841DF">
        <w:rPr>
          <w:rFonts w:ascii="Times New Roman" w:hAnsi="Times New Roman" w:cs="Times New Roman"/>
        </w:rPr>
        <w:t xml:space="preserve"> a 1980 Case </w:t>
      </w:r>
      <w:proofErr w:type="spellStart"/>
      <w:r w:rsidRPr="004841DF">
        <w:rPr>
          <w:rFonts w:ascii="Times New Roman" w:hAnsi="Times New Roman" w:cs="Times New Roman"/>
        </w:rPr>
        <w:t>Study</w:t>
      </w:r>
      <w:proofErr w:type="spellEnd"/>
      <w:r w:rsidRPr="004841DF">
        <w:rPr>
          <w:rFonts w:ascii="Times New Roman" w:hAnsi="Times New Roman" w:cs="Times New Roman"/>
        </w:rPr>
        <w:t xml:space="preserve">. </w:t>
      </w:r>
      <w:r w:rsidRPr="004841DF">
        <w:rPr>
          <w:rFonts w:ascii="Times New Roman" w:hAnsi="Times New Roman" w:cs="Times New Roman"/>
          <w:b/>
          <w:bCs/>
        </w:rPr>
        <w:t xml:space="preserve">American </w:t>
      </w:r>
      <w:proofErr w:type="spellStart"/>
      <w:r w:rsidRPr="004841DF">
        <w:rPr>
          <w:rFonts w:ascii="Times New Roman" w:hAnsi="Times New Roman" w:cs="Times New Roman"/>
          <w:b/>
          <w:bCs/>
        </w:rPr>
        <w:t>Journal</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of</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Political</w:t>
      </w:r>
      <w:proofErr w:type="spellEnd"/>
      <w:r w:rsidRPr="004841DF">
        <w:rPr>
          <w:rFonts w:ascii="Times New Roman" w:hAnsi="Times New Roman" w:cs="Times New Roman"/>
          <w:b/>
          <w:bCs/>
        </w:rPr>
        <w:t xml:space="preserve"> Science</w:t>
      </w:r>
      <w:r w:rsidRPr="004841DF">
        <w:rPr>
          <w:rFonts w:ascii="Times New Roman" w:hAnsi="Times New Roman" w:cs="Times New Roman"/>
        </w:rPr>
        <w:t>, v. 40, n. 3, p. 825-850, 1996.</w:t>
      </w:r>
    </w:p>
    <w:p w14:paraId="58AC302B"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POWER, Timothy J.; ZUCCO, Cesar. Elite </w:t>
      </w:r>
      <w:proofErr w:type="spellStart"/>
      <w:r w:rsidRPr="004841DF">
        <w:rPr>
          <w:rFonts w:ascii="Times New Roman" w:hAnsi="Times New Roman" w:cs="Times New Roman"/>
        </w:rPr>
        <w:t>ideology</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party</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ideology</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and</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rPr>
        <w:t>the</w:t>
      </w:r>
      <w:proofErr w:type="spellEnd"/>
      <w:r w:rsidRPr="004841DF">
        <w:rPr>
          <w:rFonts w:ascii="Times New Roman" w:hAnsi="Times New Roman" w:cs="Times New Roman"/>
        </w:rPr>
        <w:t xml:space="preserve"> center-led </w:t>
      </w:r>
      <w:proofErr w:type="spellStart"/>
      <w:r w:rsidRPr="004841DF">
        <w:rPr>
          <w:rFonts w:ascii="Times New Roman" w:hAnsi="Times New Roman" w:cs="Times New Roman"/>
        </w:rPr>
        <w:t>coalition</w:t>
      </w:r>
      <w:proofErr w:type="spellEnd"/>
      <w:r w:rsidRPr="004841DF">
        <w:rPr>
          <w:rFonts w:ascii="Times New Roman" w:hAnsi="Times New Roman" w:cs="Times New Roman"/>
        </w:rPr>
        <w:t xml:space="preserve"> in </w:t>
      </w:r>
      <w:proofErr w:type="spellStart"/>
      <w:r w:rsidRPr="004841DF">
        <w:rPr>
          <w:rFonts w:ascii="Times New Roman" w:hAnsi="Times New Roman" w:cs="Times New Roman"/>
        </w:rPr>
        <w:t>Brazil</w:t>
      </w:r>
      <w:proofErr w:type="spellEnd"/>
      <w:r w:rsidRPr="004841DF">
        <w:rPr>
          <w:rFonts w:ascii="Times New Roman" w:hAnsi="Times New Roman" w:cs="Times New Roman"/>
        </w:rPr>
        <w:t xml:space="preserve">. </w:t>
      </w:r>
      <w:proofErr w:type="spellStart"/>
      <w:r w:rsidRPr="004841DF">
        <w:rPr>
          <w:rFonts w:ascii="Times New Roman" w:hAnsi="Times New Roman" w:cs="Times New Roman"/>
          <w:b/>
          <w:bCs/>
        </w:rPr>
        <w:t>Journal</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of</w:t>
      </w:r>
      <w:proofErr w:type="spellEnd"/>
      <w:r w:rsidRPr="004841DF">
        <w:rPr>
          <w:rFonts w:ascii="Times New Roman" w:hAnsi="Times New Roman" w:cs="Times New Roman"/>
          <w:b/>
          <w:bCs/>
        </w:rPr>
        <w:t xml:space="preserve"> Politics in </w:t>
      </w:r>
      <w:proofErr w:type="spellStart"/>
      <w:r w:rsidRPr="004841DF">
        <w:rPr>
          <w:rFonts w:ascii="Times New Roman" w:hAnsi="Times New Roman" w:cs="Times New Roman"/>
          <w:b/>
          <w:bCs/>
        </w:rPr>
        <w:t>Latin</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America</w:t>
      </w:r>
      <w:proofErr w:type="spellEnd"/>
      <w:r w:rsidRPr="004841DF">
        <w:rPr>
          <w:rFonts w:ascii="Times New Roman" w:hAnsi="Times New Roman" w:cs="Times New Roman"/>
        </w:rPr>
        <w:t>, v. 4, n. 2, p. 3-35, 2012.</w:t>
      </w:r>
    </w:p>
    <w:p w14:paraId="60C0D9F4"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ROBERTSON, David. </w:t>
      </w:r>
      <w:r w:rsidRPr="004841DF">
        <w:rPr>
          <w:rFonts w:ascii="Times New Roman" w:hAnsi="Times New Roman" w:cs="Times New Roman"/>
          <w:b/>
          <w:bCs/>
        </w:rPr>
        <w:t xml:space="preserve">A </w:t>
      </w:r>
      <w:proofErr w:type="spellStart"/>
      <w:r w:rsidRPr="004841DF">
        <w:rPr>
          <w:rFonts w:ascii="Times New Roman" w:hAnsi="Times New Roman" w:cs="Times New Roman"/>
          <w:b/>
          <w:bCs/>
        </w:rPr>
        <w:t>Theory</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of</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Party</w:t>
      </w:r>
      <w:proofErr w:type="spellEnd"/>
      <w:r w:rsidRPr="004841DF">
        <w:rPr>
          <w:rFonts w:ascii="Times New Roman" w:hAnsi="Times New Roman" w:cs="Times New Roman"/>
          <w:b/>
          <w:bCs/>
        </w:rPr>
        <w:t xml:space="preserve"> </w:t>
      </w:r>
      <w:proofErr w:type="spellStart"/>
      <w:r w:rsidRPr="004841DF">
        <w:rPr>
          <w:rFonts w:ascii="Times New Roman" w:hAnsi="Times New Roman" w:cs="Times New Roman"/>
          <w:b/>
          <w:bCs/>
        </w:rPr>
        <w:t>Competition</w:t>
      </w:r>
      <w:proofErr w:type="spellEnd"/>
      <w:r w:rsidRPr="004841DF">
        <w:rPr>
          <w:rFonts w:ascii="Times New Roman" w:hAnsi="Times New Roman" w:cs="Times New Roman"/>
        </w:rPr>
        <w:t>. London: Wiley, 1970.</w:t>
      </w:r>
    </w:p>
    <w:p w14:paraId="61765AE7"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SILVA, Luiz Inácio Lula da. </w:t>
      </w:r>
      <w:r w:rsidRPr="004841DF">
        <w:rPr>
          <w:rFonts w:ascii="Times New Roman" w:hAnsi="Times New Roman" w:cs="Times New Roman"/>
          <w:b/>
          <w:bCs/>
        </w:rPr>
        <w:t>Diretrizes para o Programa de Reconstrução e Transformação do Brasil</w:t>
      </w:r>
      <w:r w:rsidRPr="004841DF">
        <w:rPr>
          <w:rFonts w:ascii="Times New Roman" w:hAnsi="Times New Roman" w:cs="Times New Roman"/>
        </w:rPr>
        <w:t xml:space="preserve">: Plano de Governo Lula-Alckmin 2023-2026. Brasília: TSE, 2022. Disponível em: </w:t>
      </w:r>
      <w:hyperlink r:id="rId14" w:tgtFrame="_blank" w:history="1">
        <w:r w:rsidRPr="004841DF">
          <w:rPr>
            <w:rStyle w:val="Hyperlink"/>
            <w:rFonts w:ascii="Times New Roman" w:hAnsi="Times New Roman" w:cs="Times New Roman"/>
          </w:rPr>
          <w:t>https://divulgacandcontas.tse.jus.br/</w:t>
        </w:r>
      </w:hyperlink>
      <w:r w:rsidRPr="004841DF">
        <w:rPr>
          <w:rFonts w:ascii="Times New Roman" w:hAnsi="Times New Roman" w:cs="Times New Roman"/>
        </w:rPr>
        <w:t>.</w:t>
      </w:r>
    </w:p>
    <w:p w14:paraId="148A3406"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lastRenderedPageBreak/>
        <w:t xml:space="preserve">TAROUCO, Gabriela da Silva. Esquerda, direita e eleições presidenciais no Brasil. </w:t>
      </w:r>
      <w:r w:rsidRPr="004841DF">
        <w:rPr>
          <w:rFonts w:ascii="Times New Roman" w:hAnsi="Times New Roman" w:cs="Times New Roman"/>
          <w:b/>
          <w:bCs/>
        </w:rPr>
        <w:t>Revista Brasileira de Ciência Política</w:t>
      </w:r>
      <w:r w:rsidRPr="004841DF">
        <w:rPr>
          <w:rFonts w:ascii="Times New Roman" w:hAnsi="Times New Roman" w:cs="Times New Roman"/>
        </w:rPr>
        <w:t>, Brasília, n. 8, p. 101–120, 2012.</w:t>
      </w:r>
    </w:p>
    <w:p w14:paraId="14FA976F" w14:textId="77777777" w:rsidR="004841DF" w:rsidRPr="004841DF" w:rsidRDefault="004841DF" w:rsidP="004841DF">
      <w:pPr>
        <w:spacing w:after="0" w:line="360" w:lineRule="auto"/>
        <w:jc w:val="both"/>
        <w:rPr>
          <w:rFonts w:ascii="Times New Roman" w:hAnsi="Times New Roman" w:cs="Times New Roman"/>
        </w:rPr>
      </w:pPr>
      <w:r w:rsidRPr="004841DF">
        <w:rPr>
          <w:rFonts w:ascii="Times New Roman" w:hAnsi="Times New Roman" w:cs="Times New Roman"/>
        </w:rPr>
        <w:t xml:space="preserve">WEBER, Max. </w:t>
      </w:r>
      <w:r w:rsidRPr="004841DF">
        <w:rPr>
          <w:rFonts w:ascii="Times New Roman" w:hAnsi="Times New Roman" w:cs="Times New Roman"/>
          <w:b/>
          <w:bCs/>
        </w:rPr>
        <w:t>Economia e Sociedade</w:t>
      </w:r>
      <w:r w:rsidRPr="004841DF">
        <w:rPr>
          <w:rFonts w:ascii="Times New Roman" w:hAnsi="Times New Roman" w:cs="Times New Roman"/>
        </w:rPr>
        <w:t>: fundamentos da sociologia compreensiva. Brasília: Editora UnB, 1999. v. 1.</w:t>
      </w:r>
    </w:p>
    <w:p w14:paraId="0844E9E2" w14:textId="406A6F53" w:rsidR="00772E30" w:rsidRPr="00E93759" w:rsidRDefault="00772E30" w:rsidP="004841DF">
      <w:pPr>
        <w:spacing w:after="0" w:line="360" w:lineRule="auto"/>
        <w:jc w:val="both"/>
        <w:rPr>
          <w:rFonts w:ascii="Times New Roman" w:hAnsi="Times New Roman" w:cs="Times New Roman"/>
        </w:rPr>
      </w:pPr>
    </w:p>
    <w:sectPr w:rsidR="00772E30" w:rsidRPr="00E9375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7ED354" w14:textId="77777777" w:rsidR="00D875B6" w:rsidRDefault="00D875B6" w:rsidP="00EF52C8">
      <w:pPr>
        <w:spacing w:after="0" w:line="240" w:lineRule="auto"/>
      </w:pPr>
      <w:r>
        <w:separator/>
      </w:r>
    </w:p>
  </w:endnote>
  <w:endnote w:type="continuationSeparator" w:id="0">
    <w:p w14:paraId="38335CAA" w14:textId="77777777" w:rsidR="00D875B6" w:rsidRDefault="00D875B6" w:rsidP="00EF5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860CC" w14:textId="77777777" w:rsidR="00D875B6" w:rsidRDefault="00D875B6" w:rsidP="00EF52C8">
      <w:pPr>
        <w:spacing w:after="0" w:line="240" w:lineRule="auto"/>
      </w:pPr>
      <w:r>
        <w:separator/>
      </w:r>
    </w:p>
  </w:footnote>
  <w:footnote w:type="continuationSeparator" w:id="0">
    <w:p w14:paraId="3199A13B" w14:textId="77777777" w:rsidR="00D875B6" w:rsidRDefault="00D875B6" w:rsidP="00EF52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31E46"/>
    <w:multiLevelType w:val="multilevel"/>
    <w:tmpl w:val="421C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183B06"/>
    <w:multiLevelType w:val="multilevel"/>
    <w:tmpl w:val="1C96E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252C62"/>
    <w:multiLevelType w:val="hybridMultilevel"/>
    <w:tmpl w:val="5268C43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16A90812"/>
    <w:multiLevelType w:val="multilevel"/>
    <w:tmpl w:val="83F6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66B234A"/>
    <w:multiLevelType w:val="multilevel"/>
    <w:tmpl w:val="EE9C9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164245"/>
    <w:multiLevelType w:val="hybridMultilevel"/>
    <w:tmpl w:val="9B080154"/>
    <w:lvl w:ilvl="0" w:tplc="13342E9C">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36662396"/>
    <w:multiLevelType w:val="hybridMultilevel"/>
    <w:tmpl w:val="559EF18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D9C50EB"/>
    <w:multiLevelType w:val="multilevel"/>
    <w:tmpl w:val="05E20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7B35DF"/>
    <w:multiLevelType w:val="multilevel"/>
    <w:tmpl w:val="C63C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9747CE"/>
    <w:multiLevelType w:val="hybridMultilevel"/>
    <w:tmpl w:val="B39CE9C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0795D2C"/>
    <w:multiLevelType w:val="multilevel"/>
    <w:tmpl w:val="7AC08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12E349A"/>
    <w:multiLevelType w:val="multilevel"/>
    <w:tmpl w:val="8EA6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969082C"/>
    <w:multiLevelType w:val="hybridMultilevel"/>
    <w:tmpl w:val="376C982E"/>
    <w:lvl w:ilvl="0" w:tplc="0EDEC514">
      <w:start w:val="1"/>
      <w:numFmt w:val="bullet"/>
      <w:lvlText w:val=""/>
      <w:lvlJc w:val="left"/>
      <w:pPr>
        <w:ind w:left="720" w:hanging="360"/>
      </w:pPr>
      <w:rPr>
        <w:rFonts w:ascii="Symbol" w:eastAsiaTheme="minorHAnsi" w:hAnsi="Symbol"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7C616CB7"/>
    <w:multiLevelType w:val="hybridMultilevel"/>
    <w:tmpl w:val="A670B31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433597270">
    <w:abstractNumId w:val="6"/>
  </w:num>
  <w:num w:numId="2" w16cid:durableId="1622224661">
    <w:abstractNumId w:val="12"/>
  </w:num>
  <w:num w:numId="3" w16cid:durableId="1542981730">
    <w:abstractNumId w:val="9"/>
  </w:num>
  <w:num w:numId="4" w16cid:durableId="289284420">
    <w:abstractNumId w:val="4"/>
  </w:num>
  <w:num w:numId="5" w16cid:durableId="1019627753">
    <w:abstractNumId w:val="13"/>
  </w:num>
  <w:num w:numId="6" w16cid:durableId="917439331">
    <w:abstractNumId w:val="5"/>
  </w:num>
  <w:num w:numId="7" w16cid:durableId="1267232382">
    <w:abstractNumId w:val="8"/>
  </w:num>
  <w:num w:numId="8" w16cid:durableId="1879974652">
    <w:abstractNumId w:val="1"/>
  </w:num>
  <w:num w:numId="9" w16cid:durableId="1843086377">
    <w:abstractNumId w:val="2"/>
  </w:num>
  <w:num w:numId="10" w16cid:durableId="1199661722">
    <w:abstractNumId w:val="11"/>
  </w:num>
  <w:num w:numId="11" w16cid:durableId="1585648728">
    <w:abstractNumId w:val="7"/>
  </w:num>
  <w:num w:numId="12" w16cid:durableId="852063994">
    <w:abstractNumId w:val="3"/>
  </w:num>
  <w:num w:numId="13" w16cid:durableId="286276037">
    <w:abstractNumId w:val="0"/>
  </w:num>
  <w:num w:numId="14" w16cid:durableId="20772450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87C"/>
    <w:rsid w:val="00003D1A"/>
    <w:rsid w:val="000061A5"/>
    <w:rsid w:val="000133F7"/>
    <w:rsid w:val="000174F9"/>
    <w:rsid w:val="00020906"/>
    <w:rsid w:val="00025AB7"/>
    <w:rsid w:val="00032283"/>
    <w:rsid w:val="00044E06"/>
    <w:rsid w:val="0004608A"/>
    <w:rsid w:val="000476F2"/>
    <w:rsid w:val="00052B81"/>
    <w:rsid w:val="0005332D"/>
    <w:rsid w:val="00057974"/>
    <w:rsid w:val="00060187"/>
    <w:rsid w:val="0006153C"/>
    <w:rsid w:val="00070186"/>
    <w:rsid w:val="00071886"/>
    <w:rsid w:val="000859CA"/>
    <w:rsid w:val="00092865"/>
    <w:rsid w:val="00092AFA"/>
    <w:rsid w:val="000A081C"/>
    <w:rsid w:val="000A491C"/>
    <w:rsid w:val="000B4535"/>
    <w:rsid w:val="000B6A5C"/>
    <w:rsid w:val="000D005D"/>
    <w:rsid w:val="000D2483"/>
    <w:rsid w:val="000D4DB9"/>
    <w:rsid w:val="000E600D"/>
    <w:rsid w:val="000F3325"/>
    <w:rsid w:val="000F5547"/>
    <w:rsid w:val="000F56E1"/>
    <w:rsid w:val="000F6EC5"/>
    <w:rsid w:val="0011098E"/>
    <w:rsid w:val="001134BF"/>
    <w:rsid w:val="00116EA7"/>
    <w:rsid w:val="00117549"/>
    <w:rsid w:val="0013018B"/>
    <w:rsid w:val="00137086"/>
    <w:rsid w:val="00140DD0"/>
    <w:rsid w:val="00140F3F"/>
    <w:rsid w:val="00141584"/>
    <w:rsid w:val="00143FAC"/>
    <w:rsid w:val="0014517B"/>
    <w:rsid w:val="00150DCF"/>
    <w:rsid w:val="001630B6"/>
    <w:rsid w:val="0016375C"/>
    <w:rsid w:val="00172C0E"/>
    <w:rsid w:val="00173F11"/>
    <w:rsid w:val="001826C8"/>
    <w:rsid w:val="001A5AFA"/>
    <w:rsid w:val="001A7C13"/>
    <w:rsid w:val="001C0260"/>
    <w:rsid w:val="001C2352"/>
    <w:rsid w:val="001C2C6F"/>
    <w:rsid w:val="001C383D"/>
    <w:rsid w:val="001C7F6F"/>
    <w:rsid w:val="001D3537"/>
    <w:rsid w:val="001D74F2"/>
    <w:rsid w:val="00200981"/>
    <w:rsid w:val="00204E6A"/>
    <w:rsid w:val="002146E2"/>
    <w:rsid w:val="002157D3"/>
    <w:rsid w:val="00227615"/>
    <w:rsid w:val="002350CE"/>
    <w:rsid w:val="00237EFA"/>
    <w:rsid w:val="00242EC1"/>
    <w:rsid w:val="00245ED6"/>
    <w:rsid w:val="00266AC7"/>
    <w:rsid w:val="00270106"/>
    <w:rsid w:val="00273286"/>
    <w:rsid w:val="00282F02"/>
    <w:rsid w:val="0029254E"/>
    <w:rsid w:val="002A6CD2"/>
    <w:rsid w:val="002A7693"/>
    <w:rsid w:val="002B72C8"/>
    <w:rsid w:val="002D2DAE"/>
    <w:rsid w:val="002D7E39"/>
    <w:rsid w:val="002D7EEE"/>
    <w:rsid w:val="002E225A"/>
    <w:rsid w:val="002F675C"/>
    <w:rsid w:val="002F6E26"/>
    <w:rsid w:val="002F78B5"/>
    <w:rsid w:val="0031048E"/>
    <w:rsid w:val="00324C1A"/>
    <w:rsid w:val="003306AB"/>
    <w:rsid w:val="00350A04"/>
    <w:rsid w:val="0036030A"/>
    <w:rsid w:val="00360C8F"/>
    <w:rsid w:val="00383611"/>
    <w:rsid w:val="003913BC"/>
    <w:rsid w:val="00392112"/>
    <w:rsid w:val="003922BF"/>
    <w:rsid w:val="003A187C"/>
    <w:rsid w:val="003A62A2"/>
    <w:rsid w:val="003A6598"/>
    <w:rsid w:val="003A750F"/>
    <w:rsid w:val="003B1843"/>
    <w:rsid w:val="003B312B"/>
    <w:rsid w:val="003C1F20"/>
    <w:rsid w:val="003D1529"/>
    <w:rsid w:val="003D65BF"/>
    <w:rsid w:val="003E248C"/>
    <w:rsid w:val="003E654A"/>
    <w:rsid w:val="003F7966"/>
    <w:rsid w:val="00401404"/>
    <w:rsid w:val="004036B6"/>
    <w:rsid w:val="004041C8"/>
    <w:rsid w:val="00404D25"/>
    <w:rsid w:val="0041270E"/>
    <w:rsid w:val="0041645D"/>
    <w:rsid w:val="00424186"/>
    <w:rsid w:val="00425D53"/>
    <w:rsid w:val="0042646F"/>
    <w:rsid w:val="00430D2E"/>
    <w:rsid w:val="00432806"/>
    <w:rsid w:val="0044150F"/>
    <w:rsid w:val="00445DA4"/>
    <w:rsid w:val="004465B7"/>
    <w:rsid w:val="00446ABC"/>
    <w:rsid w:val="00456419"/>
    <w:rsid w:val="00476B34"/>
    <w:rsid w:val="004841DF"/>
    <w:rsid w:val="004908A0"/>
    <w:rsid w:val="00495CCF"/>
    <w:rsid w:val="004B2B81"/>
    <w:rsid w:val="004B4C6E"/>
    <w:rsid w:val="004B5F7F"/>
    <w:rsid w:val="004C041A"/>
    <w:rsid w:val="004C0981"/>
    <w:rsid w:val="004C4387"/>
    <w:rsid w:val="004C5047"/>
    <w:rsid w:val="004D22C5"/>
    <w:rsid w:val="004F2A4D"/>
    <w:rsid w:val="004F2A7B"/>
    <w:rsid w:val="004F6528"/>
    <w:rsid w:val="00510D8C"/>
    <w:rsid w:val="00516C67"/>
    <w:rsid w:val="00533021"/>
    <w:rsid w:val="00545342"/>
    <w:rsid w:val="00557584"/>
    <w:rsid w:val="00562A89"/>
    <w:rsid w:val="00562D6C"/>
    <w:rsid w:val="00564138"/>
    <w:rsid w:val="00565524"/>
    <w:rsid w:val="005659D5"/>
    <w:rsid w:val="0057407A"/>
    <w:rsid w:val="00577774"/>
    <w:rsid w:val="005811CA"/>
    <w:rsid w:val="00585993"/>
    <w:rsid w:val="0059453E"/>
    <w:rsid w:val="00595563"/>
    <w:rsid w:val="005A59C6"/>
    <w:rsid w:val="005A5D2B"/>
    <w:rsid w:val="005B27ED"/>
    <w:rsid w:val="005B28F6"/>
    <w:rsid w:val="005D7242"/>
    <w:rsid w:val="005D7BF5"/>
    <w:rsid w:val="005E1DFF"/>
    <w:rsid w:val="005E7029"/>
    <w:rsid w:val="005F69FD"/>
    <w:rsid w:val="005F7E41"/>
    <w:rsid w:val="00601727"/>
    <w:rsid w:val="00602AFE"/>
    <w:rsid w:val="00616379"/>
    <w:rsid w:val="00621A5E"/>
    <w:rsid w:val="00623229"/>
    <w:rsid w:val="006260D6"/>
    <w:rsid w:val="00627A44"/>
    <w:rsid w:val="006371D9"/>
    <w:rsid w:val="00646E24"/>
    <w:rsid w:val="0065753D"/>
    <w:rsid w:val="0066352B"/>
    <w:rsid w:val="006667D6"/>
    <w:rsid w:val="00674407"/>
    <w:rsid w:val="00680C05"/>
    <w:rsid w:val="00691FB7"/>
    <w:rsid w:val="00692047"/>
    <w:rsid w:val="006924F5"/>
    <w:rsid w:val="006A59A0"/>
    <w:rsid w:val="006A7FB0"/>
    <w:rsid w:val="006B1FDC"/>
    <w:rsid w:val="006B4D99"/>
    <w:rsid w:val="006C11E5"/>
    <w:rsid w:val="006C3C14"/>
    <w:rsid w:val="006D2490"/>
    <w:rsid w:val="006D4B80"/>
    <w:rsid w:val="006D58A3"/>
    <w:rsid w:val="006E28A6"/>
    <w:rsid w:val="006E5C70"/>
    <w:rsid w:val="006F19B4"/>
    <w:rsid w:val="006F26F7"/>
    <w:rsid w:val="006F335F"/>
    <w:rsid w:val="006F3525"/>
    <w:rsid w:val="006F7A61"/>
    <w:rsid w:val="00703566"/>
    <w:rsid w:val="00707606"/>
    <w:rsid w:val="0071296F"/>
    <w:rsid w:val="00712C54"/>
    <w:rsid w:val="007147B5"/>
    <w:rsid w:val="007359DD"/>
    <w:rsid w:val="00741ACD"/>
    <w:rsid w:val="00741D7E"/>
    <w:rsid w:val="00741EA7"/>
    <w:rsid w:val="00764FA5"/>
    <w:rsid w:val="00766EE6"/>
    <w:rsid w:val="00772693"/>
    <w:rsid w:val="00772E30"/>
    <w:rsid w:val="0077367C"/>
    <w:rsid w:val="00787B6A"/>
    <w:rsid w:val="00790EF1"/>
    <w:rsid w:val="0079187D"/>
    <w:rsid w:val="00796DA5"/>
    <w:rsid w:val="007A0405"/>
    <w:rsid w:val="007A1B7C"/>
    <w:rsid w:val="007A6CFD"/>
    <w:rsid w:val="007B207D"/>
    <w:rsid w:val="007B5750"/>
    <w:rsid w:val="007B5A7F"/>
    <w:rsid w:val="007C0DAD"/>
    <w:rsid w:val="007C2929"/>
    <w:rsid w:val="007C2961"/>
    <w:rsid w:val="007C541C"/>
    <w:rsid w:val="007D0059"/>
    <w:rsid w:val="007D249C"/>
    <w:rsid w:val="007E33DA"/>
    <w:rsid w:val="007E347E"/>
    <w:rsid w:val="007E3809"/>
    <w:rsid w:val="007E5AAD"/>
    <w:rsid w:val="00805635"/>
    <w:rsid w:val="00810D96"/>
    <w:rsid w:val="00813BDA"/>
    <w:rsid w:val="00814923"/>
    <w:rsid w:val="00815014"/>
    <w:rsid w:val="00821103"/>
    <w:rsid w:val="008240BB"/>
    <w:rsid w:val="0082463D"/>
    <w:rsid w:val="00827A9F"/>
    <w:rsid w:val="00827FCF"/>
    <w:rsid w:val="00833F7C"/>
    <w:rsid w:val="008341BE"/>
    <w:rsid w:val="00836626"/>
    <w:rsid w:val="00850EFD"/>
    <w:rsid w:val="00851ACB"/>
    <w:rsid w:val="008546C0"/>
    <w:rsid w:val="008667BB"/>
    <w:rsid w:val="0087224D"/>
    <w:rsid w:val="00880BA6"/>
    <w:rsid w:val="00885662"/>
    <w:rsid w:val="0088586F"/>
    <w:rsid w:val="008936E5"/>
    <w:rsid w:val="008938AD"/>
    <w:rsid w:val="00895F68"/>
    <w:rsid w:val="008B116F"/>
    <w:rsid w:val="008B2B35"/>
    <w:rsid w:val="008B59E1"/>
    <w:rsid w:val="008C0C0C"/>
    <w:rsid w:val="008C52C8"/>
    <w:rsid w:val="008C7EE7"/>
    <w:rsid w:val="008D0144"/>
    <w:rsid w:val="008D2445"/>
    <w:rsid w:val="008D49CD"/>
    <w:rsid w:val="008D4DD6"/>
    <w:rsid w:val="008E0C97"/>
    <w:rsid w:val="008E348B"/>
    <w:rsid w:val="008E3C12"/>
    <w:rsid w:val="008E4B55"/>
    <w:rsid w:val="008F1919"/>
    <w:rsid w:val="008F21DF"/>
    <w:rsid w:val="008F715D"/>
    <w:rsid w:val="00902337"/>
    <w:rsid w:val="009100BC"/>
    <w:rsid w:val="009120CF"/>
    <w:rsid w:val="00920111"/>
    <w:rsid w:val="00922BDD"/>
    <w:rsid w:val="0094589D"/>
    <w:rsid w:val="00953CCA"/>
    <w:rsid w:val="009636A3"/>
    <w:rsid w:val="00965C83"/>
    <w:rsid w:val="009741E1"/>
    <w:rsid w:val="00975862"/>
    <w:rsid w:val="0098653E"/>
    <w:rsid w:val="00986611"/>
    <w:rsid w:val="0098733F"/>
    <w:rsid w:val="00994C51"/>
    <w:rsid w:val="00995341"/>
    <w:rsid w:val="00996149"/>
    <w:rsid w:val="009968C3"/>
    <w:rsid w:val="009A3343"/>
    <w:rsid w:val="009D54B7"/>
    <w:rsid w:val="009E06DC"/>
    <w:rsid w:val="009E245E"/>
    <w:rsid w:val="009E7697"/>
    <w:rsid w:val="009E7AF5"/>
    <w:rsid w:val="009F164F"/>
    <w:rsid w:val="009F53D3"/>
    <w:rsid w:val="009F667B"/>
    <w:rsid w:val="009F76C9"/>
    <w:rsid w:val="00A00EF8"/>
    <w:rsid w:val="00A04FC5"/>
    <w:rsid w:val="00A061EB"/>
    <w:rsid w:val="00A13018"/>
    <w:rsid w:val="00A154BA"/>
    <w:rsid w:val="00A16F84"/>
    <w:rsid w:val="00A226BF"/>
    <w:rsid w:val="00A228C1"/>
    <w:rsid w:val="00A277C8"/>
    <w:rsid w:val="00A3093A"/>
    <w:rsid w:val="00A31E8D"/>
    <w:rsid w:val="00A35BAF"/>
    <w:rsid w:val="00A35E2B"/>
    <w:rsid w:val="00A37375"/>
    <w:rsid w:val="00A448CA"/>
    <w:rsid w:val="00A512C9"/>
    <w:rsid w:val="00A527ED"/>
    <w:rsid w:val="00A6056A"/>
    <w:rsid w:val="00A769C0"/>
    <w:rsid w:val="00A819F7"/>
    <w:rsid w:val="00A86009"/>
    <w:rsid w:val="00A941EB"/>
    <w:rsid w:val="00A9794F"/>
    <w:rsid w:val="00AA1341"/>
    <w:rsid w:val="00AA1EF7"/>
    <w:rsid w:val="00AA4257"/>
    <w:rsid w:val="00AA626F"/>
    <w:rsid w:val="00AB1A02"/>
    <w:rsid w:val="00AB2C44"/>
    <w:rsid w:val="00AB5267"/>
    <w:rsid w:val="00AC3A35"/>
    <w:rsid w:val="00AD0AFB"/>
    <w:rsid w:val="00AD2062"/>
    <w:rsid w:val="00AD4A9F"/>
    <w:rsid w:val="00AE465D"/>
    <w:rsid w:val="00AE4E5F"/>
    <w:rsid w:val="00AE4EDF"/>
    <w:rsid w:val="00AE5F10"/>
    <w:rsid w:val="00AE60AF"/>
    <w:rsid w:val="00AF2E8A"/>
    <w:rsid w:val="00AF663A"/>
    <w:rsid w:val="00B0600D"/>
    <w:rsid w:val="00B0747C"/>
    <w:rsid w:val="00B123D4"/>
    <w:rsid w:val="00B263CA"/>
    <w:rsid w:val="00B26602"/>
    <w:rsid w:val="00B27E1A"/>
    <w:rsid w:val="00B34FF8"/>
    <w:rsid w:val="00B41592"/>
    <w:rsid w:val="00B463BE"/>
    <w:rsid w:val="00B506BC"/>
    <w:rsid w:val="00B54038"/>
    <w:rsid w:val="00B54A97"/>
    <w:rsid w:val="00B54FDA"/>
    <w:rsid w:val="00B67359"/>
    <w:rsid w:val="00B71193"/>
    <w:rsid w:val="00B71737"/>
    <w:rsid w:val="00B72C30"/>
    <w:rsid w:val="00B74165"/>
    <w:rsid w:val="00B80193"/>
    <w:rsid w:val="00B80FDC"/>
    <w:rsid w:val="00B922C5"/>
    <w:rsid w:val="00B93D64"/>
    <w:rsid w:val="00B943B8"/>
    <w:rsid w:val="00B94795"/>
    <w:rsid w:val="00B975E6"/>
    <w:rsid w:val="00BA03B8"/>
    <w:rsid w:val="00BB059F"/>
    <w:rsid w:val="00BB1CB5"/>
    <w:rsid w:val="00BB558B"/>
    <w:rsid w:val="00BC0616"/>
    <w:rsid w:val="00BC77CC"/>
    <w:rsid w:val="00BD112F"/>
    <w:rsid w:val="00BE0240"/>
    <w:rsid w:val="00BE7216"/>
    <w:rsid w:val="00BE7316"/>
    <w:rsid w:val="00BF6A3F"/>
    <w:rsid w:val="00C03529"/>
    <w:rsid w:val="00C04C57"/>
    <w:rsid w:val="00C07FB1"/>
    <w:rsid w:val="00C151DA"/>
    <w:rsid w:val="00C211EE"/>
    <w:rsid w:val="00C256D5"/>
    <w:rsid w:val="00C5558F"/>
    <w:rsid w:val="00C571F2"/>
    <w:rsid w:val="00C644A6"/>
    <w:rsid w:val="00C65C77"/>
    <w:rsid w:val="00C65F53"/>
    <w:rsid w:val="00C65FBC"/>
    <w:rsid w:val="00C67FC1"/>
    <w:rsid w:val="00C7054C"/>
    <w:rsid w:val="00C87600"/>
    <w:rsid w:val="00C92CF1"/>
    <w:rsid w:val="00C942CB"/>
    <w:rsid w:val="00C94AF1"/>
    <w:rsid w:val="00C96260"/>
    <w:rsid w:val="00C96BC6"/>
    <w:rsid w:val="00C97278"/>
    <w:rsid w:val="00C974B5"/>
    <w:rsid w:val="00CA1F96"/>
    <w:rsid w:val="00CA3CB7"/>
    <w:rsid w:val="00CB0001"/>
    <w:rsid w:val="00CB082E"/>
    <w:rsid w:val="00CB68B5"/>
    <w:rsid w:val="00CB74AC"/>
    <w:rsid w:val="00CC65D6"/>
    <w:rsid w:val="00CC75A2"/>
    <w:rsid w:val="00CD127D"/>
    <w:rsid w:val="00CD2DD1"/>
    <w:rsid w:val="00CD7285"/>
    <w:rsid w:val="00CE13F8"/>
    <w:rsid w:val="00CE3382"/>
    <w:rsid w:val="00CE6021"/>
    <w:rsid w:val="00CF0305"/>
    <w:rsid w:val="00CF27F5"/>
    <w:rsid w:val="00CF3E86"/>
    <w:rsid w:val="00D003F8"/>
    <w:rsid w:val="00D00ACC"/>
    <w:rsid w:val="00D0149B"/>
    <w:rsid w:val="00D109C5"/>
    <w:rsid w:val="00D20BD9"/>
    <w:rsid w:val="00D242BD"/>
    <w:rsid w:val="00D258C9"/>
    <w:rsid w:val="00D27905"/>
    <w:rsid w:val="00D31647"/>
    <w:rsid w:val="00D41CA2"/>
    <w:rsid w:val="00D42A32"/>
    <w:rsid w:val="00D444ED"/>
    <w:rsid w:val="00D528BC"/>
    <w:rsid w:val="00D53FD6"/>
    <w:rsid w:val="00D7659B"/>
    <w:rsid w:val="00D82D47"/>
    <w:rsid w:val="00D84AA1"/>
    <w:rsid w:val="00D875B6"/>
    <w:rsid w:val="00D9146D"/>
    <w:rsid w:val="00D9227B"/>
    <w:rsid w:val="00D937D7"/>
    <w:rsid w:val="00D96466"/>
    <w:rsid w:val="00DA0FAF"/>
    <w:rsid w:val="00DA50F3"/>
    <w:rsid w:val="00DB605D"/>
    <w:rsid w:val="00DC0138"/>
    <w:rsid w:val="00DC0897"/>
    <w:rsid w:val="00DD0FCD"/>
    <w:rsid w:val="00DD7B20"/>
    <w:rsid w:val="00DE6283"/>
    <w:rsid w:val="00E00230"/>
    <w:rsid w:val="00E02716"/>
    <w:rsid w:val="00E1016C"/>
    <w:rsid w:val="00E17E23"/>
    <w:rsid w:val="00E27459"/>
    <w:rsid w:val="00E36D9E"/>
    <w:rsid w:val="00E4265A"/>
    <w:rsid w:val="00E44671"/>
    <w:rsid w:val="00E446E7"/>
    <w:rsid w:val="00E6605E"/>
    <w:rsid w:val="00E71894"/>
    <w:rsid w:val="00E818AE"/>
    <w:rsid w:val="00E82EA5"/>
    <w:rsid w:val="00E85D28"/>
    <w:rsid w:val="00E86E1B"/>
    <w:rsid w:val="00E93759"/>
    <w:rsid w:val="00E95E88"/>
    <w:rsid w:val="00E96C8B"/>
    <w:rsid w:val="00E97F0B"/>
    <w:rsid w:val="00EA50C8"/>
    <w:rsid w:val="00EB61EA"/>
    <w:rsid w:val="00EC1DBF"/>
    <w:rsid w:val="00EC2EBB"/>
    <w:rsid w:val="00EC5F09"/>
    <w:rsid w:val="00EC7C53"/>
    <w:rsid w:val="00ED033D"/>
    <w:rsid w:val="00ED49D4"/>
    <w:rsid w:val="00ED4B3E"/>
    <w:rsid w:val="00ED4E1E"/>
    <w:rsid w:val="00EE2A17"/>
    <w:rsid w:val="00EE3D1E"/>
    <w:rsid w:val="00EE5FAA"/>
    <w:rsid w:val="00EF0B41"/>
    <w:rsid w:val="00EF0E9E"/>
    <w:rsid w:val="00EF3B91"/>
    <w:rsid w:val="00EF52C8"/>
    <w:rsid w:val="00EF6DAB"/>
    <w:rsid w:val="00F004FE"/>
    <w:rsid w:val="00F10ADA"/>
    <w:rsid w:val="00F11F5D"/>
    <w:rsid w:val="00F15271"/>
    <w:rsid w:val="00F2095C"/>
    <w:rsid w:val="00F221A9"/>
    <w:rsid w:val="00F23AC0"/>
    <w:rsid w:val="00F23ECB"/>
    <w:rsid w:val="00F27175"/>
    <w:rsid w:val="00F4323C"/>
    <w:rsid w:val="00F503A6"/>
    <w:rsid w:val="00F5355A"/>
    <w:rsid w:val="00F56DB0"/>
    <w:rsid w:val="00F64235"/>
    <w:rsid w:val="00F64DA5"/>
    <w:rsid w:val="00F719DD"/>
    <w:rsid w:val="00F747A4"/>
    <w:rsid w:val="00F80B00"/>
    <w:rsid w:val="00F84E30"/>
    <w:rsid w:val="00F9028C"/>
    <w:rsid w:val="00F912C1"/>
    <w:rsid w:val="00F933BC"/>
    <w:rsid w:val="00FA4A38"/>
    <w:rsid w:val="00FB0631"/>
    <w:rsid w:val="00FB0F13"/>
    <w:rsid w:val="00FB5B03"/>
    <w:rsid w:val="00FC04A4"/>
    <w:rsid w:val="00FC06FA"/>
    <w:rsid w:val="00FC1CA0"/>
    <w:rsid w:val="00FC77BA"/>
    <w:rsid w:val="00FD21F5"/>
    <w:rsid w:val="00FE0CC7"/>
    <w:rsid w:val="00FE191F"/>
    <w:rsid w:val="00FF0B88"/>
    <w:rsid w:val="00FF393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0517E"/>
  <w15:chartTrackingRefBased/>
  <w15:docId w15:val="{B61B0FCD-F059-4084-A389-251D7049E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3759"/>
  </w:style>
  <w:style w:type="paragraph" w:styleId="Ttulo1">
    <w:name w:val="heading 1"/>
    <w:basedOn w:val="Normal"/>
    <w:next w:val="Normal"/>
    <w:link w:val="Ttulo1Char"/>
    <w:uiPriority w:val="9"/>
    <w:qFormat/>
    <w:rsid w:val="003A18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3A18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unhideWhenUsed/>
    <w:qFormat/>
    <w:rsid w:val="003A187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3A187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3A187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3A187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3A187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3A187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3A187C"/>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A187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3A187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rsid w:val="003A187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3A187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3A187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3A187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3A187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3A187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3A187C"/>
    <w:rPr>
      <w:rFonts w:eastAsiaTheme="majorEastAsia" w:cstheme="majorBidi"/>
      <w:color w:val="272727" w:themeColor="text1" w:themeTint="D8"/>
    </w:rPr>
  </w:style>
  <w:style w:type="paragraph" w:styleId="Ttulo">
    <w:name w:val="Title"/>
    <w:basedOn w:val="Normal"/>
    <w:next w:val="Normal"/>
    <w:link w:val="TtuloChar"/>
    <w:uiPriority w:val="10"/>
    <w:qFormat/>
    <w:rsid w:val="003A18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3A187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3A187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3A187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3A187C"/>
    <w:pPr>
      <w:spacing w:before="160"/>
      <w:jc w:val="center"/>
    </w:pPr>
    <w:rPr>
      <w:i/>
      <w:iCs/>
      <w:color w:val="404040" w:themeColor="text1" w:themeTint="BF"/>
    </w:rPr>
  </w:style>
  <w:style w:type="character" w:customStyle="1" w:styleId="CitaoChar">
    <w:name w:val="Citação Char"/>
    <w:basedOn w:val="Fontepargpadro"/>
    <w:link w:val="Citao"/>
    <w:uiPriority w:val="29"/>
    <w:rsid w:val="003A187C"/>
    <w:rPr>
      <w:i/>
      <w:iCs/>
      <w:color w:val="404040" w:themeColor="text1" w:themeTint="BF"/>
    </w:rPr>
  </w:style>
  <w:style w:type="paragraph" w:styleId="PargrafodaLista">
    <w:name w:val="List Paragraph"/>
    <w:basedOn w:val="Normal"/>
    <w:uiPriority w:val="34"/>
    <w:qFormat/>
    <w:rsid w:val="003A187C"/>
    <w:pPr>
      <w:ind w:left="720"/>
      <w:contextualSpacing/>
    </w:pPr>
  </w:style>
  <w:style w:type="character" w:styleId="nfaseIntensa">
    <w:name w:val="Intense Emphasis"/>
    <w:basedOn w:val="Fontepargpadro"/>
    <w:uiPriority w:val="21"/>
    <w:qFormat/>
    <w:rsid w:val="003A187C"/>
    <w:rPr>
      <w:i/>
      <w:iCs/>
      <w:color w:val="0F4761" w:themeColor="accent1" w:themeShade="BF"/>
    </w:rPr>
  </w:style>
  <w:style w:type="paragraph" w:styleId="CitaoIntensa">
    <w:name w:val="Intense Quote"/>
    <w:basedOn w:val="Normal"/>
    <w:next w:val="Normal"/>
    <w:link w:val="CitaoIntensaChar"/>
    <w:uiPriority w:val="30"/>
    <w:qFormat/>
    <w:rsid w:val="003A18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3A187C"/>
    <w:rPr>
      <w:i/>
      <w:iCs/>
      <w:color w:val="0F4761" w:themeColor="accent1" w:themeShade="BF"/>
    </w:rPr>
  </w:style>
  <w:style w:type="character" w:styleId="RefernciaIntensa">
    <w:name w:val="Intense Reference"/>
    <w:basedOn w:val="Fontepargpadro"/>
    <w:uiPriority w:val="32"/>
    <w:qFormat/>
    <w:rsid w:val="003A187C"/>
    <w:rPr>
      <w:b/>
      <w:bCs/>
      <w:smallCaps/>
      <w:color w:val="0F4761" w:themeColor="accent1" w:themeShade="BF"/>
      <w:spacing w:val="5"/>
    </w:rPr>
  </w:style>
  <w:style w:type="paragraph" w:styleId="Textodenotaderodap">
    <w:name w:val="footnote text"/>
    <w:basedOn w:val="Normal"/>
    <w:link w:val="TextodenotaderodapChar"/>
    <w:uiPriority w:val="99"/>
    <w:semiHidden/>
    <w:unhideWhenUsed/>
    <w:rsid w:val="00EF52C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F52C8"/>
    <w:rPr>
      <w:sz w:val="20"/>
      <w:szCs w:val="20"/>
    </w:rPr>
  </w:style>
  <w:style w:type="character" w:styleId="Refdenotaderodap">
    <w:name w:val="footnote reference"/>
    <w:basedOn w:val="Fontepargpadro"/>
    <w:uiPriority w:val="99"/>
    <w:semiHidden/>
    <w:unhideWhenUsed/>
    <w:rsid w:val="00EF52C8"/>
    <w:rPr>
      <w:vertAlign w:val="superscript"/>
    </w:rPr>
  </w:style>
  <w:style w:type="character" w:styleId="Hyperlink">
    <w:name w:val="Hyperlink"/>
    <w:basedOn w:val="Fontepargpadro"/>
    <w:uiPriority w:val="99"/>
    <w:unhideWhenUsed/>
    <w:rsid w:val="00383611"/>
    <w:rPr>
      <w:color w:val="467886" w:themeColor="hyperlink"/>
      <w:u w:val="single"/>
    </w:rPr>
  </w:style>
  <w:style w:type="character" w:styleId="MenoPendente">
    <w:name w:val="Unresolved Mention"/>
    <w:basedOn w:val="Fontepargpadro"/>
    <w:uiPriority w:val="99"/>
    <w:semiHidden/>
    <w:unhideWhenUsed/>
    <w:rsid w:val="00383611"/>
    <w:rPr>
      <w:color w:val="605E5C"/>
      <w:shd w:val="clear" w:color="auto" w:fill="E1DFDD"/>
    </w:rPr>
  </w:style>
  <w:style w:type="table" w:styleId="Tabelacomgrade">
    <w:name w:val="Table Grid"/>
    <w:basedOn w:val="Tabelanormal"/>
    <w:uiPriority w:val="39"/>
    <w:rsid w:val="002E22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har"/>
    <w:uiPriority w:val="99"/>
    <w:semiHidden/>
    <w:unhideWhenUsed/>
    <w:rsid w:val="00F23ECB"/>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F23ECB"/>
  </w:style>
  <w:style w:type="paragraph" w:styleId="Rodap">
    <w:name w:val="footer"/>
    <w:basedOn w:val="Normal"/>
    <w:link w:val="RodapChar"/>
    <w:uiPriority w:val="99"/>
    <w:semiHidden/>
    <w:unhideWhenUsed/>
    <w:rsid w:val="00F23ECB"/>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F23ECB"/>
  </w:style>
  <w:style w:type="paragraph" w:styleId="NormalWeb">
    <w:name w:val="Normal (Web)"/>
    <w:basedOn w:val="Normal"/>
    <w:uiPriority w:val="99"/>
    <w:semiHidden/>
    <w:unhideWhenUsed/>
    <w:rsid w:val="00BA03B8"/>
    <w:pPr>
      <w:spacing w:before="100" w:beforeAutospacing="1" w:after="100" w:afterAutospacing="1" w:line="240" w:lineRule="auto"/>
    </w:pPr>
    <w:rPr>
      <w:rFonts w:ascii="Times New Roman" w:eastAsia="Times New Roman" w:hAnsi="Times New Roman" w:cs="Times New Roman"/>
      <w:kern w:val="0"/>
      <w:lang w:eastAsia="pt-BR"/>
      <w14:ligatures w14:val="none"/>
    </w:rPr>
  </w:style>
  <w:style w:type="table" w:styleId="SimplesTabela2">
    <w:name w:val="Plain Table 2"/>
    <w:basedOn w:val="Tabelanormal"/>
    <w:uiPriority w:val="42"/>
    <w:rsid w:val="00245ED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vulgacandcontas.tse.jus.br/" TargetMode="External"/><Relationship Id="rId13" Type="http://schemas.openxmlformats.org/officeDocument/2006/relationships/hyperlink" Target="https://manifesto-project.wzb.e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vulgacandcontas.tse.jus.br/"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se.jus.b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12.senado.leg.br/institucional/datasenado" TargetMode="External"/><Relationship Id="rId4" Type="http://schemas.openxmlformats.org/officeDocument/2006/relationships/settings" Target="settings.xml"/><Relationship Id="rId9" Type="http://schemas.openxmlformats.org/officeDocument/2006/relationships/hyperlink" Target="https://divulgacandcontas.tse.jus.br/" TargetMode="External"/><Relationship Id="rId14" Type="http://schemas.openxmlformats.org/officeDocument/2006/relationships/hyperlink" Target="https://divulgacandcontas.tse.jus.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F69418-4196-4843-BA2E-9AF246E92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6230</Words>
  <Characters>33644</Characters>
  <Application>Microsoft Office Word</Application>
  <DocSecurity>0</DocSecurity>
  <Lines>280</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Vinicius Gomes</dc:creator>
  <cp:keywords/>
  <dc:description/>
  <cp:lastModifiedBy>Vinicius Gomes</cp:lastModifiedBy>
  <cp:revision>2</cp:revision>
  <dcterms:created xsi:type="dcterms:W3CDTF">2026-04-16T00:04:00Z</dcterms:created>
  <dcterms:modified xsi:type="dcterms:W3CDTF">2026-04-16T00:04:00Z</dcterms:modified>
</cp:coreProperties>
</file>