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A54301F" w14:textId="3E6A7CB9" w:rsidR="00F82FF5" w:rsidRDefault="00205F0E">
      <w:pPr>
        <w:spacing w:before="200" w:after="200"/>
        <w:jc w:val="center"/>
        <w:rPr>
          <w:szCs w:val="24"/>
        </w:rPr>
      </w:pPr>
      <w:r>
        <w:rPr>
          <w:noProof/>
        </w:rPr>
        <w:drawing>
          <wp:anchor distT="0" distB="0" distL="0" distR="0" simplePos="0" relativeHeight="2" behindDoc="1" locked="0" layoutInCell="0" allowOverlap="1" wp14:anchorId="05E99491" wp14:editId="6CF53F30">
            <wp:simplePos x="0" y="0"/>
            <wp:positionH relativeFrom="column">
              <wp:posOffset>-1118235</wp:posOffset>
            </wp:positionH>
            <wp:positionV relativeFrom="paragraph">
              <wp:posOffset>-1800225</wp:posOffset>
            </wp:positionV>
            <wp:extent cx="7559675" cy="2418715"/>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8"/>
                    <a:stretch>
                      <a:fillRect/>
                    </a:stretch>
                  </pic:blipFill>
                  <pic:spPr bwMode="auto">
                    <a:xfrm>
                      <a:off x="0" y="0"/>
                      <a:ext cx="7559675" cy="2418715"/>
                    </a:xfrm>
                    <a:prstGeom prst="rect">
                      <a:avLst/>
                    </a:prstGeom>
                  </pic:spPr>
                </pic:pic>
              </a:graphicData>
            </a:graphic>
          </wp:anchor>
        </w:drawing>
      </w:r>
      <w:r>
        <w:rPr>
          <w:rFonts w:cs="Times New Roman"/>
          <w:szCs w:val="24"/>
        </w:rPr>
        <w:t>14º Seminário Nacional Sociologia &amp; Política</w:t>
      </w:r>
      <w:r>
        <w:rPr>
          <w:rFonts w:cs="Times New Roman"/>
          <w:szCs w:val="24"/>
        </w:rPr>
        <w:br/>
        <w:t>Saberes em Confluência</w:t>
      </w:r>
      <w:r>
        <w:rPr>
          <w:rFonts w:cs="Times New Roman"/>
          <w:szCs w:val="24"/>
        </w:rPr>
        <w:br/>
        <w:t xml:space="preserve">GT </w:t>
      </w:r>
      <w:r w:rsidR="0064673A">
        <w:rPr>
          <w:rFonts w:cs="Times New Roman"/>
          <w:szCs w:val="24"/>
        </w:rPr>
        <w:t>13</w:t>
      </w:r>
      <w:r>
        <w:rPr>
          <w:rFonts w:cs="Times New Roman"/>
          <w:szCs w:val="24"/>
        </w:rPr>
        <w:t xml:space="preserve"> - </w:t>
      </w:r>
      <w:r w:rsidR="0064673A" w:rsidRPr="0064673A">
        <w:rPr>
          <w:rFonts w:cs="Times New Roman"/>
          <w:szCs w:val="24"/>
        </w:rPr>
        <w:t>Sociologia e Políticas Públicas</w:t>
      </w:r>
      <w:r>
        <w:rPr>
          <w:rFonts w:cs="Times New Roman"/>
          <w:szCs w:val="24"/>
        </w:rPr>
        <w:br/>
      </w:r>
    </w:p>
    <w:p w14:paraId="38A23A3A" w14:textId="79BB9828" w:rsidR="00F82FF5" w:rsidRDefault="0064673A">
      <w:pPr>
        <w:spacing w:before="200" w:after="200"/>
        <w:jc w:val="center"/>
        <w:rPr>
          <w:rFonts w:cs="Times New Roman"/>
          <w:szCs w:val="24"/>
        </w:rPr>
      </w:pPr>
      <w:commentRangeStart w:id="0"/>
      <w:r w:rsidRPr="0064673A">
        <w:rPr>
          <w:rFonts w:cs="Times New Roman"/>
          <w:b/>
          <w:bCs/>
          <w:szCs w:val="24"/>
        </w:rPr>
        <w:t>Entre obrigações legais e iniciativas locais: os determinantes das políticas para mulheres nos maiores municípios de Mato Grosso do Sul</w:t>
      </w:r>
      <w:commentRangeEnd w:id="0"/>
      <w:r w:rsidR="00B24604">
        <w:rPr>
          <w:rStyle w:val="Refdecomentrio"/>
        </w:rPr>
        <w:commentReference w:id="0"/>
      </w:r>
    </w:p>
    <w:p w14:paraId="266B6B6C" w14:textId="5E6E44A6" w:rsidR="00F82FF5" w:rsidRPr="00532D89" w:rsidRDefault="00532D89" w:rsidP="00532D89">
      <w:pPr>
        <w:jc w:val="right"/>
      </w:pPr>
      <w:commentRangeStart w:id="1"/>
      <w:commentRangeStart w:id="2"/>
      <w:commentRangeStart w:id="3"/>
      <w:commentRangeStart w:id="4"/>
      <w:r>
        <w:rPr>
          <w:rFonts w:cs="Times New Roman"/>
          <w:szCs w:val="24"/>
        </w:rPr>
        <w:t>Vitor Rodrigues</w:t>
      </w:r>
      <w:r w:rsidR="00205F0E">
        <w:rPr>
          <w:rStyle w:val="Refdenotaderodap"/>
          <w:rFonts w:cs="Times New Roman"/>
          <w:szCs w:val="24"/>
        </w:rPr>
        <w:footnoteReference w:id="1"/>
      </w:r>
      <w:commentRangeEnd w:id="1"/>
      <w:r w:rsidR="00B24604">
        <w:rPr>
          <w:rStyle w:val="Refdecomentrio"/>
        </w:rPr>
        <w:commentReference w:id="1"/>
      </w:r>
      <w:commentRangeEnd w:id="2"/>
      <w:r w:rsidR="00A47FF5">
        <w:rPr>
          <w:rStyle w:val="Refdecomentrio"/>
        </w:rPr>
        <w:commentReference w:id="2"/>
      </w:r>
      <w:commentRangeEnd w:id="3"/>
      <w:r w:rsidR="00A47FF5">
        <w:rPr>
          <w:rStyle w:val="Refdecomentrio"/>
        </w:rPr>
        <w:commentReference w:id="3"/>
      </w:r>
      <w:commentRangeEnd w:id="4"/>
      <w:r w:rsidR="00A47FF5">
        <w:rPr>
          <w:rStyle w:val="Refdecomentrio"/>
        </w:rPr>
        <w:commentReference w:id="4"/>
      </w:r>
      <w:r w:rsidR="00205F0E">
        <w:rPr>
          <w:rFonts w:cs="Times New Roman"/>
          <w:szCs w:val="24"/>
        </w:rPr>
        <w:br/>
      </w:r>
      <w:r>
        <w:rPr>
          <w:rFonts w:cs="Times New Roman"/>
          <w:szCs w:val="24"/>
        </w:rPr>
        <w:t>Daniel Miranda</w:t>
      </w:r>
      <w:r w:rsidR="00205F0E">
        <w:rPr>
          <w:rStyle w:val="Refdenotaderodap"/>
          <w:rFonts w:cs="Times New Roman"/>
          <w:szCs w:val="24"/>
        </w:rPr>
        <w:footnoteReference w:id="2"/>
      </w:r>
    </w:p>
    <w:p w14:paraId="0204D772" w14:textId="77777777" w:rsidR="00F82FF5" w:rsidRDefault="00F82FF5">
      <w:pPr>
        <w:jc w:val="right"/>
        <w:rPr>
          <w:rFonts w:cs="Times New Roman"/>
          <w:szCs w:val="24"/>
        </w:rPr>
      </w:pPr>
    </w:p>
    <w:p w14:paraId="7983B46D" w14:textId="72D106B9" w:rsidR="006048E1" w:rsidRDefault="00205F0E" w:rsidP="00BF2167">
      <w:pPr>
        <w:pStyle w:val="Ttulo1"/>
      </w:pPr>
      <w:r>
        <w:t>INTRODUÇÃO</w:t>
      </w:r>
      <w:r w:rsidR="00BF2167">
        <w:t xml:space="preserve"> </w:t>
      </w:r>
    </w:p>
    <w:p w14:paraId="57FBDCD8" w14:textId="77777777" w:rsidR="00B24604" w:rsidRPr="00B24604" w:rsidRDefault="00B24604" w:rsidP="00B24604"/>
    <w:p w14:paraId="3B9B92F4" w14:textId="77777777" w:rsidR="007105CD" w:rsidRPr="007105CD" w:rsidRDefault="007105CD" w:rsidP="007105CD">
      <w:r w:rsidRPr="007105CD">
        <w:t xml:space="preserve">A promulgação da Constituição Federal de 1988 representou um marco na reconfiguração das responsabilidades do Estado brasileiro, especialmente no campo das políticas sociais. Ao incorporar princípios como a universalidade dos direitos e a descentralização político-administrativa, a Carta Magna transferiu aos municípios um papel central na formulação e execução de políticas públicas voltadas a segmentos historicamente </w:t>
      </w:r>
      <w:proofErr w:type="spellStart"/>
      <w:r w:rsidRPr="007105CD">
        <w:t>vulnerabilizados</w:t>
      </w:r>
      <w:proofErr w:type="spellEnd"/>
      <w:r w:rsidRPr="007105CD">
        <w:t>. Entre esses grupos, as mulheres ocupam lugar de destaque, não apenas por constituírem mais da metade da população nacional, mas também pela persistência de desigualdades estruturais de gênero que demandam ação estatal sistemática.</w:t>
      </w:r>
    </w:p>
    <w:p w14:paraId="5A6178D3" w14:textId="5D08191F" w:rsidR="007105CD" w:rsidRPr="007105CD" w:rsidRDefault="007105CD" w:rsidP="007105CD">
      <w:r w:rsidRPr="007105CD">
        <w:lastRenderedPageBreak/>
        <w:t>A trajetória das políticas públicas para mulheres no Brasil é marcada por avanços institucionais significativos, desde a criação do Conselho Nacional dos Direitos da Mulher (1985) até a sanção da Lei Maria da Penha (2006) e a instituição de sistemas nacionais de enfrentamento à violência. No âmbito municipal, esse movimento se expressou inicialmente na criação de conselhos específicos, que evoluíram de uma primeira geração (1986-2000) focada no recebimento de denúncias e diretamente vinculada aos gabinetes dos prefeitos para uma segunda geração (pós-2000), caracterizada pela composição paritária entre poder público e sociedade civil, pela vinculação a secretarias de assistência social e pela ampliação do público-alvo de vítimas para cidadãs plenas de direitos.</w:t>
      </w:r>
    </w:p>
    <w:p w14:paraId="68651CDA" w14:textId="77777777" w:rsidR="007105CD" w:rsidRPr="007105CD" w:rsidRDefault="007105CD" w:rsidP="007105CD">
      <w:r w:rsidRPr="007105CD">
        <w:t>Estudos recentes têm demonstrado que, embora exista um arcabouço normativo nacional indutor, a efetiva implementação de políticas para mulheres depende fortemente das escolhas e dos arranjos institucionais realizados no nível local (Mota, 2023). Nesse sentido, a orientação partidária dos gestores municipais emerge como um fator potencialmente decisivo. A literatura sobre políticas de gênero sugere que governos de esquerda e centro-esquerda tendem a priorizar a agenda feminista, enquanto administrações de direita podem apresentar maior resistência ou direcionar as políticas para enfoques assistencialistas ou focados exclusivamente na violência (Jonas, 2025). Contudo, no plano municipal, diferenças ideológicas nem sempre se traduzem de maneira linear, dada a influência de fatores locais como a pressão de movimentos sociais, a capacidade técnica do funcionalismo e os efeitos de legado de gestões anteriores.</w:t>
      </w:r>
    </w:p>
    <w:p w14:paraId="68E44772" w14:textId="1715A527" w:rsidR="007105CD" w:rsidRPr="007105CD" w:rsidRDefault="007105CD" w:rsidP="007105CD">
      <w:r w:rsidRPr="007105CD">
        <w:t xml:space="preserve">O presente artigo tem como objetivo </w:t>
      </w:r>
      <w:r w:rsidR="00B24604">
        <w:t>descrever as principais</w:t>
      </w:r>
      <w:r w:rsidRPr="007105CD">
        <w:t xml:space="preserve"> políticas públicas para mulheres nos quatro maiores municípios de Mato Grosso do Sul </w:t>
      </w:r>
      <w:r w:rsidR="00B24604">
        <w:t>ao longo do século XXI, isto é, de 2000 até a presente data</w:t>
      </w:r>
      <w:r w:rsidRPr="007105CD">
        <w:t xml:space="preserve">. </w:t>
      </w:r>
      <w:r w:rsidR="00654CB0">
        <w:t>Com relação ao material analisado</w:t>
      </w:r>
      <w:r w:rsidRPr="007105CD">
        <w:t xml:space="preserve">, </w:t>
      </w:r>
      <w:r w:rsidR="00B24604">
        <w:t xml:space="preserve">foi construído </w:t>
      </w:r>
      <w:r w:rsidRPr="007105CD">
        <w:t xml:space="preserve">um banco de </w:t>
      </w:r>
      <w:r w:rsidR="00654CB0">
        <w:t>dados</w:t>
      </w:r>
      <w:r w:rsidRPr="007105CD">
        <w:t xml:space="preserve"> abrangente sobre as políticas direcionadas a esse público</w:t>
      </w:r>
      <w:r w:rsidR="00654CB0">
        <w:t xml:space="preserve"> e, depois</w:t>
      </w:r>
      <w:r w:rsidR="00B24604">
        <w:t>, foram</w:t>
      </w:r>
      <w:r w:rsidRPr="007105CD">
        <w:t xml:space="preserve"> identifica</w:t>
      </w:r>
      <w:r w:rsidR="00B24604">
        <w:t>das</w:t>
      </w:r>
      <w:r w:rsidRPr="007105CD">
        <w:t xml:space="preserve"> e cataloga</w:t>
      </w:r>
      <w:r w:rsidR="00B24604">
        <w:t>das</w:t>
      </w:r>
      <w:r w:rsidRPr="007105CD">
        <w:t xml:space="preserve"> iniciativas municipais que vão além das obrigações legais</w:t>
      </w:r>
      <w:r w:rsidR="00B24604">
        <w:t xml:space="preserve"> federais ou estaduais</w:t>
      </w:r>
      <w:r w:rsidRPr="007105CD">
        <w:t>, caracterizando-as como políticas voluntárias</w:t>
      </w:r>
      <w:r w:rsidR="00B24604">
        <w:t xml:space="preserve">. </w:t>
      </w:r>
    </w:p>
    <w:p w14:paraId="1895E138" w14:textId="77777777" w:rsidR="007105CD" w:rsidRPr="007105CD" w:rsidRDefault="007105CD" w:rsidP="007105CD">
      <w:r w:rsidRPr="007105CD">
        <w:t xml:space="preserve">O referencial teórico ancora-se em três eixos complementares. O primeiro, de ordem conceitual, apoia-se em </w:t>
      </w:r>
      <w:proofErr w:type="spellStart"/>
      <w:r w:rsidRPr="007105CD">
        <w:t>Agum</w:t>
      </w:r>
      <w:proofErr w:type="spellEnd"/>
      <w:r w:rsidRPr="007105CD">
        <w:t xml:space="preserve">, Riscado e Menezes (2015), que revisam o ciclo das políticas públicas e destacam a avaliação como etapa estratégica frequentemente negligenciada. O segundo eixo, específico às políticas de gênero, fundamenta-se em Mota (2023), que discute os conceitos de transversalidade e interseccionalidade como operadores centrais para a efetividade dessas políticas. O terceiro eixo, metodológico, utiliza o modelo de </w:t>
      </w:r>
      <w:proofErr w:type="spellStart"/>
      <w:r w:rsidRPr="007105CD">
        <w:t>Arretche</w:t>
      </w:r>
      <w:proofErr w:type="spellEnd"/>
      <w:r w:rsidRPr="007105CD">
        <w:t xml:space="preserve"> (2001) — originalmente desenvolvido para analisar a descentralização das políticas sociais de saúde e assistência —, adaptando-o ao escopo das políticas para mulheres. Além disso, as reflexões de </w:t>
      </w:r>
      <w:r w:rsidRPr="007105CD">
        <w:lastRenderedPageBreak/>
        <w:t>Tavares e Bitencourt (2022) sobre governança digital e interoperabilidade oferecem subsídios para compreender o potencial e os limites do uso de tecnologias no monitoramento e avaliação dessas políticas.</w:t>
      </w:r>
    </w:p>
    <w:p w14:paraId="48EDDE09" w14:textId="7E711EDE" w:rsidR="007105CD" w:rsidRDefault="007105CD" w:rsidP="007105CD">
      <w:r w:rsidRPr="007105CD">
        <w:t xml:space="preserve">Metodologicamente, a pesquisa adota uma abordagem </w:t>
      </w:r>
      <w:proofErr w:type="spellStart"/>
      <w:r w:rsidRPr="007105CD">
        <w:t>quali</w:t>
      </w:r>
      <w:proofErr w:type="spellEnd"/>
      <w:r w:rsidRPr="007105CD">
        <w:t>-quantitativa, combinando análise documental sistemática de fontes oficiais (Leis Orçamentárias Anuais, Planos Plurianuais, relatórios de gestão, portais da transparência e diários oficiais) com análise de conteúdo para identificação da natureza, escopo e motivações das políticas. A análise comparativa entre os quatro municípios permitirá o cruzamento dos dados com as variáveis do modelo teórico, incluindo a orientação partidária dos prefeitos no período, buscando padrões e divergências que possam validar ou refutar a hipótese proposta.</w:t>
      </w:r>
    </w:p>
    <w:p w14:paraId="54BA1652" w14:textId="77777777" w:rsidR="00E23F36" w:rsidRPr="007105CD" w:rsidRDefault="00E23F36" w:rsidP="007105CD"/>
    <w:p w14:paraId="200D4ED0" w14:textId="77777777" w:rsidR="00F82FF5" w:rsidRDefault="00205F0E">
      <w:pPr>
        <w:pStyle w:val="Ttulo1"/>
      </w:pPr>
      <w:r>
        <w:t>DESENVOLVIMENTO</w:t>
      </w:r>
    </w:p>
    <w:p w14:paraId="26E98712" w14:textId="488DAEA0" w:rsidR="00290078" w:rsidRPr="00290078" w:rsidRDefault="00290078" w:rsidP="00290078">
      <w:r w:rsidRPr="00290078">
        <w:t xml:space="preserve">A análise da trajetória das políticas públicas para mulheres nos quatro maiores municípios de Mato Grosso do Sul revela um processo de institucionalização gradual, fortemente influenciado por fatores políticos, especialmente a orientação partidária das gestões municipais e a pressão da sociedade civil, mas também condicionado por fatores institucionais indutores provenientes da legislação e dos programas federais. Com base nos 185 registros oficiais coletados em diários oficiais e demais publicações, é possível reconstituir essa trajetória e testar a hipótese, formulada a partir do modelo de descentralização de Marta </w:t>
      </w:r>
      <w:proofErr w:type="spellStart"/>
      <w:r w:rsidRPr="00290078">
        <w:t>Arretche</w:t>
      </w:r>
      <w:proofErr w:type="spellEnd"/>
      <w:r w:rsidRPr="00290078">
        <w:t xml:space="preserve"> (2001), de que fatores políticos predominam sobre fatores estruturais e institucionais na adoção de políticas voluntárias para mulheres.</w:t>
      </w:r>
    </w:p>
    <w:p w14:paraId="67EF8DDC" w14:textId="3766CBFD" w:rsidR="00290078" w:rsidRPr="00290078" w:rsidRDefault="00290078" w:rsidP="00290078">
      <w:r w:rsidRPr="00290078">
        <w:t xml:space="preserve">A criação dos conselhos municipais constituiu o primeiro movimento institucional relevante. Em Corumbá, o Conselho Municipal de Defesa da Mulher foi criado em 1986, ainda na gestão de Jair Facundo (PMDB), antes mesmo da promulgação da Constituição de 1988. Em Dourados, o conselho surgiu em 1991, na administração de Braz Melo (PFL). Três Lagoas instituiu o seu em 1993, com </w:t>
      </w:r>
      <w:proofErr w:type="spellStart"/>
      <w:r w:rsidRPr="00290078">
        <w:t>Issam</w:t>
      </w:r>
      <w:proofErr w:type="spellEnd"/>
      <w:r w:rsidRPr="00290078">
        <w:t xml:space="preserve"> Fares (PMDB), e Campo Grande em 1997, sob André Puccinelli (PMDB, posteriormente MDB). Todos esses conselhos de primeira geração eram vinculados diretamente ao gabinete do prefeito, com membros de livre nomeação, e focavam predominantemente no recebimento e encaminhamento de denúncias de </w:t>
      </w:r>
      <w:r w:rsidR="00A47FF5" w:rsidRPr="00290078">
        <w:t>violência um</w:t>
      </w:r>
      <w:r w:rsidRPr="00290078">
        <w:t xml:space="preserve"> modelo de </w:t>
      </w:r>
      <w:proofErr w:type="spellStart"/>
      <w:r w:rsidRPr="00290078">
        <w:rPr>
          <w:i/>
          <w:iCs/>
        </w:rPr>
        <w:t>fire</w:t>
      </w:r>
      <w:proofErr w:type="spellEnd"/>
      <w:r w:rsidRPr="00290078">
        <w:rPr>
          <w:i/>
          <w:iCs/>
        </w:rPr>
        <w:t xml:space="preserve"> </w:t>
      </w:r>
      <w:proofErr w:type="spellStart"/>
      <w:r w:rsidRPr="00290078">
        <w:rPr>
          <w:i/>
          <w:iCs/>
        </w:rPr>
        <w:t>alarm</w:t>
      </w:r>
      <w:proofErr w:type="spellEnd"/>
      <w:r w:rsidRPr="00290078">
        <w:t xml:space="preserve"> que tratava as mulheres prioritariamente como vítimas. A transição para a segunda geração ocorreu a partir dos anos 2000, com a mudança da vinculação institucional dos conselhos para as secretarias de assistência social e a adoção da composição paritária entre poder público e sociedade civil. Em Corumbá, essa mudança se deu em 2008, na gestão de </w:t>
      </w:r>
      <w:proofErr w:type="spellStart"/>
      <w:r w:rsidRPr="00290078">
        <w:t>Ruiter</w:t>
      </w:r>
      <w:proofErr w:type="spellEnd"/>
      <w:r w:rsidRPr="00290078">
        <w:t xml:space="preserve"> Cunha de </w:t>
      </w:r>
      <w:r w:rsidRPr="00290078">
        <w:lastRenderedPageBreak/>
        <w:t xml:space="preserve">Oliveira (PTB), quando o conselho passou a vincular-se à Secretaria Municipal de Promoção da Cidadania. Em Três Lagoas, em 2009, ainda na administração de Márcia Moura (DEM), o conselho foi deslocado para a Secretaria Municipal de Assistência Social, Cidadania e Trabalho. Dourados realizou a mudança apenas em 2016, sob a gestão de Murilo </w:t>
      </w:r>
      <w:proofErr w:type="spellStart"/>
      <w:r w:rsidRPr="00290078">
        <w:t>Zauith</w:t>
      </w:r>
      <w:proofErr w:type="spellEnd"/>
      <w:r w:rsidRPr="00290078">
        <w:t xml:space="preserve"> (DEM), vinculando o conselho à Secretaria Municipal de Assistência Social. Campo Grande, por sua vez, trilhou caminho distinto: em 2013, na gestão de Alcides Bernal (PP), criou uma Secretaria Municipal de Políticas para as Mulheres, que em 2017, já com Marquinhos Trad (PSD), foi rebaixada a Subsecretaria vinculada à Secretaria de Governo e Relações Institucionais. Observa-se que a passagem da primeira para a segunda geração ocorreu em gestões de diferentes espectros partidários </w:t>
      </w:r>
      <w:r w:rsidR="00E23F36">
        <w:t>(</w:t>
      </w:r>
      <w:r w:rsidRPr="00290078">
        <w:t>PMDB, PTB, DEM, PP, PSD</w:t>
      </w:r>
      <w:r w:rsidR="00E23F36">
        <w:t>)</w:t>
      </w:r>
      <w:r w:rsidRPr="00290078">
        <w:t xml:space="preserve"> sugerindo que o movimento não foi determinado exclusivamente pela ideologia do partido no poder, mas sim por fatores institucionais indutores, como a Lei Maria da Penha (2006) e as conferências nacionais que estimularam a padronização dos conselhos em todo o país. Contudo, a rapidez e a profundidade da transição variaram: Corumbá e Três Lagoas migraram mais cedo (2008-2009), enquanto Dourados o fez tardiamente (2016), e Campo Grande optou por uma solução atípica</w:t>
      </w:r>
      <w:r w:rsidR="00E23F36">
        <w:t xml:space="preserve"> no estado</w:t>
      </w:r>
      <w:r w:rsidRPr="00290078">
        <w:t xml:space="preserve"> (secretaria, depois subsecretaria), indicando que fatores políticos locais como o maior ativismo feminista em Campo Grande ou a menor pressão social em Dourados também desempenharam papel relevante.</w:t>
      </w:r>
    </w:p>
    <w:p w14:paraId="66F4BBE1" w14:textId="395414CF" w:rsidR="00654CB0" w:rsidRDefault="00290078" w:rsidP="00290078">
      <w:r w:rsidRPr="00854046">
        <w:rPr>
          <w:rFonts w:cs="Times New Roman"/>
        </w:rPr>
        <w:t xml:space="preserve">O segundo movimento institucional foi a criação de unidades executivas específicas para formular e monitorar políticas para mulheres. Dourados e Campo Grande criaram coordenadorias ainda nos anos 2000: em Dourados, a Coordenadoria de Políticas para a Mulher foi instituída na gestão de Laerte </w:t>
      </w:r>
      <w:proofErr w:type="spellStart"/>
      <w:r w:rsidRPr="00854046">
        <w:rPr>
          <w:rFonts w:cs="Times New Roman"/>
        </w:rPr>
        <w:t>Tetila</w:t>
      </w:r>
      <w:proofErr w:type="spellEnd"/>
      <w:r w:rsidRPr="00854046">
        <w:rPr>
          <w:rFonts w:cs="Times New Roman"/>
        </w:rPr>
        <w:t xml:space="preserve"> (PT, 2005-2008); em Campo Grande, a CODAM surgiu em 2005, na administração de Nelson Trad Filho (PMDB). Corumbá e Três Lagoas só criaram suas coordenadorias após 2010, em gestões de </w:t>
      </w:r>
      <w:proofErr w:type="spellStart"/>
      <w:r w:rsidRPr="00854046">
        <w:rPr>
          <w:rFonts w:cs="Times New Roman"/>
        </w:rPr>
        <w:t>Ruiter</w:t>
      </w:r>
      <w:proofErr w:type="spellEnd"/>
      <w:r w:rsidRPr="00854046">
        <w:rPr>
          <w:rFonts w:cs="Times New Roman"/>
        </w:rPr>
        <w:t xml:space="preserve"> Cunha de Oliveira (PTB) e Márcia Moura</w:t>
      </w:r>
      <w:r w:rsidRPr="00290078">
        <w:t xml:space="preserve"> (DEM), respectivamente. A defasagem temporal entre os municípios sugere que fatores políticos </w:t>
      </w:r>
      <w:r w:rsidR="00E23F36">
        <w:t>tal como</w:t>
      </w:r>
      <w:r w:rsidRPr="00290078">
        <w:t xml:space="preserve"> a presença de gestores com sensibilidade à agenda de gênero podem ter acelerado ou retardado a criação desses órgãos. A partir de 2017, os municípios passaram a articular redes municipais de proteção e enfrentamento à violência. Corumbá foi pioneira, ainda na gestão de </w:t>
      </w:r>
      <w:proofErr w:type="spellStart"/>
      <w:r w:rsidRPr="00290078">
        <w:t>Ruiter</w:t>
      </w:r>
      <w:proofErr w:type="spellEnd"/>
      <w:r w:rsidRPr="00290078">
        <w:t xml:space="preserve"> Cunha de Oliveira (PTB, 2017), criando a Rede Municipal de Proteção e Enfrentamento à Violência contra a Mulher. Em 2018, Campo Grande, sob Marquinhos Trad (PSD), instituiu sua Rede Municipal de Atendimento às Mulheres em Situação de Violência. Dourados, já na gestão de Alan Guedes (PP), iniciou em 2024 a implementação da Rede de Informação </w:t>
      </w:r>
      <w:r w:rsidRPr="00290078">
        <w:lastRenderedPageBreak/>
        <w:t xml:space="preserve">Integrada de Proteção à Mulher. Três Lagoas, por sua vez, optou por um comitê para elaboração periódica do Dossiê das Mulheres (2025), na gestão de Marçal Filho. </w:t>
      </w:r>
    </w:p>
    <w:p w14:paraId="6C222655" w14:textId="346D7A2C" w:rsidR="00290078" w:rsidRPr="00290078" w:rsidRDefault="00290078" w:rsidP="00290078">
      <w:r w:rsidRPr="00290078">
        <w:t>A criação dessas redes representa uma inovação institucional relevante, pois integra órgãos de segurança pública, saúde, assistência social e educação. Chama a atenção que todas as redes foram instituídas em gestões de centro-direita ou direita (PTB, PSD, PP), contradizendo a expectativa de que apenas governos de esquerda priorizariam políticas de gênero. Isso reforça a tese de que, no nível municipal, o consenso sobre a necessidade de enfrentar a violência doméstica transcende as divisões partidárias, dada a urgência e a gravidade do problema. No entanto, a análise qualitativa sugere que as redes criadas sob gestões de direita tendem a focar quase exclusivamente na proteção emergencial (abrigos, patrulhas, delegacias), enquanto a rede de Dourados, mais recente, já incorpora a produção de dados e a integração de informações, indicando um amadurecimento técnico independente da orientação partidária.</w:t>
      </w:r>
    </w:p>
    <w:p w14:paraId="70DA3C21" w14:textId="77777777" w:rsidR="00654CB0" w:rsidRDefault="00290078" w:rsidP="00290078">
      <w:r w:rsidRPr="00290078">
        <w:t xml:space="preserve">A criação de fundos municipais específicos é outro indicador de institucionalização. Três Lagoas foi pioneira, criando seu Fundo Municipal dos Direitos da Mulher em 2009, na gestão de Márcia Moura (DEM). Campo Grande o fez em 2018, com Marquinhos Trad (PSD). Corumbá criou o seu apenas em 2024, na gestão de Marcelo </w:t>
      </w:r>
      <w:proofErr w:type="spellStart"/>
      <w:r w:rsidRPr="00290078">
        <w:t>Iunes</w:t>
      </w:r>
      <w:proofErr w:type="spellEnd"/>
      <w:r w:rsidRPr="00290078">
        <w:t xml:space="preserve"> (PSDB). A vinculação institucional dos fundos variou: em Três Lagoas, o fundo foi ligado à Secretaria Municipal de Finanças; em Campo Grande, à Subsecretaria de Políticas para a Mulher; em Corumbá, à Secretaria de Assistência Social. </w:t>
      </w:r>
    </w:p>
    <w:p w14:paraId="75257CEB" w14:textId="232DBAF2" w:rsidR="00290078" w:rsidRPr="00290078" w:rsidRDefault="00290078" w:rsidP="00290078">
      <w:r w:rsidRPr="00290078">
        <w:t>A existência de fundos é condição necessária para a sustentabilidade financeira, mas sua eficácia depende de dotação orçamentária efetiva. No âmbito legislativo, as Procuradorias da Mulher foram instituídas em todas as câmaras municipais a partir de 2021 um movimento coordenado que sugere forte indução institucional por parte de órgãos de cúpula, como a Procuradoria da Mulher do Senado Federal. A primeira Procuradoria surgiu em Campo Grande em 2013, mas as demais só vieram em 2021, com descrições de atribuições quase idênticas, evidenciando isomorfismo organizacional sobreposto a fatores políticos locais.</w:t>
      </w:r>
    </w:p>
    <w:p w14:paraId="1638E600" w14:textId="2F1BB41F" w:rsidR="00654CB0" w:rsidRDefault="00290078" w:rsidP="00290078">
      <w:r w:rsidRPr="00290078">
        <w:t xml:space="preserve">As conferências municipais, realizadas desde 2011, representam o principal espaço de participação social. A primeira conferência ocorreu em Três Lagoas (2011), seguida por Corumbá e </w:t>
      </w:r>
      <w:proofErr w:type="gramStart"/>
      <w:r w:rsidRPr="00290078">
        <w:t>Dourados  por</w:t>
      </w:r>
      <w:proofErr w:type="gramEnd"/>
      <w:r w:rsidRPr="00290078">
        <w:t xml:space="preserve"> ocasião da 4ª Conferência Nacional. Os planos municipais sintetizam as diretrizes resultantes. </w:t>
      </w:r>
    </w:p>
    <w:p w14:paraId="5F6CBB21" w14:textId="77777777" w:rsidR="00654CB0" w:rsidRDefault="00290078" w:rsidP="00290078">
      <w:r w:rsidRPr="00290078">
        <w:t xml:space="preserve">O plano de Campo Grande (2006), elaborado na gestão de Nelson Trad Filho (PMDB), é o mais robusto: construído com a participação de 1.122 mulheres, explicitou princípios avançados como interseccionalidade, transversalidade e intersetorialidade, mas não continha </w:t>
      </w:r>
      <w:r w:rsidRPr="00290078">
        <w:lastRenderedPageBreak/>
        <w:t xml:space="preserve">cronograma ou metas. O segundo plano de Campo Grande (2022-2026), já na gestão de Marquinhos Trad (PSD) e finalizado sob Adriane Lopes (PP), reduziu os eixos temáticos para cinco (enfrentamento à violência, saúde integral, trabalho e autonomia econômica, participação nos espaços de poder, educação para a igualdade) e estabeleceu um marco temporal, mas não avaliou a implementação do primeiro plano — uma lacuna crítica. </w:t>
      </w:r>
    </w:p>
    <w:p w14:paraId="3A362EE5" w14:textId="1FDC3F15" w:rsidR="00290078" w:rsidRDefault="00290078" w:rsidP="00290078">
      <w:r w:rsidRPr="00290078">
        <w:t xml:space="preserve">O plano de Dourados (2013), instituído por decreto na gestão de Laerte </w:t>
      </w:r>
      <w:proofErr w:type="spellStart"/>
      <w:r w:rsidRPr="00290078">
        <w:t>Tetila</w:t>
      </w:r>
      <w:proofErr w:type="spellEnd"/>
      <w:r w:rsidRPr="00290078">
        <w:t xml:space="preserve"> (PT), é muito mais enxuto: cinco artigos, cada um correspondente a um eixo temático, sem informações sobre participação social. A diferença de densidade entre os planos de Campo Grande e Dourados pode ser atribuída a fatores estruturais (porte do município, capacidade técnica) mais do que à orientação partidária, já que Dourados tinha um prefeito do PT, teoricamente mais alinhado à agenda de gênero, mas produziu um plano modesto.</w:t>
      </w:r>
    </w:p>
    <w:p w14:paraId="4EA5CC7E" w14:textId="77777777" w:rsidR="00654CB0" w:rsidRDefault="00432DD1" w:rsidP="00432DD1">
      <w:r>
        <w:t>Sendo assim, o</w:t>
      </w:r>
      <w:r w:rsidRPr="007105CD">
        <w:t xml:space="preserve"> estado de Mato Grosso do Sul oferece um laboratório privilegiado para investigar tais questões. Seus quatro maiores municípios Campo Grande, Dourados, Três Lagoas e Corumbá concentram cerca de metade da população estadual e atuam como polos de referência regional. No período de 2020 a 2023, esses municípios foram governados por diferentes espectros partidários, o que permite testar a influência da variável política sobre a oferta de políticas para mulheres. </w:t>
      </w:r>
    </w:p>
    <w:p w14:paraId="2EBCB23F" w14:textId="6953CB29" w:rsidR="00432DD1" w:rsidRPr="007105CD" w:rsidRDefault="00432DD1" w:rsidP="00432DD1">
      <w:r w:rsidRPr="007105CD">
        <w:t xml:space="preserve">Em Campo Grande, a gestão de Marquinhos Trad (PSD, 2017-2022) foi sucedida por Adriane Lopes (PP, a partir de 2022), ambos inseridos no campo do centrão e do conservadorismo moderado. Em Dourados, Alan Guedes (PP, eleito em 2021) representa também uma legenda de centro-direita. Três Lagoas foi governada por Marçal Filho, que transitou entre o PSDB e outras siglas de perfil similar. Corumbá, por sua vez, teve Marcelo </w:t>
      </w:r>
      <w:proofErr w:type="spellStart"/>
      <w:r w:rsidRPr="007105CD">
        <w:t>Iunes</w:t>
      </w:r>
      <w:proofErr w:type="spellEnd"/>
      <w:r w:rsidRPr="007105CD">
        <w:t xml:space="preserve"> (PSDB, eleito em 2021), igualmente alinhado à centro-direita. Assim, os quatro municípios apresentam, no período analisado, gestões predominantemente de centro-direita e direita, o que permite controlar, em certa medida, a variável ideológica e isolar outros fatores explicativos.</w:t>
      </w:r>
    </w:p>
    <w:p w14:paraId="0A7DCDF3" w14:textId="77777777" w:rsidR="00654CB0" w:rsidRDefault="00432DD1" w:rsidP="00432DD1">
      <w:r w:rsidRPr="007105CD">
        <w:t xml:space="preserve">Ao longo das últimas décadas, esses municípios construíram trajetórias institucionais distintas, mas com pontos de convergência: todos criaram conselhos municipais dos direitos da mulher entre os anos 1980 e 1990 Corumbá (1986, gestão Jair Facundo/PMDB), Dourados (1991, Braz Melo/PFL), Três Lagoas (1993, </w:t>
      </w:r>
      <w:proofErr w:type="spellStart"/>
      <w:r w:rsidRPr="007105CD">
        <w:t>Issam</w:t>
      </w:r>
      <w:proofErr w:type="spellEnd"/>
      <w:r w:rsidRPr="007105CD">
        <w:t xml:space="preserve"> Fares/PMDB) e Campo Grande (1997, André Puccinelli/PMDB), todos avançaram para a segunda geração desses conselhos, vinculando-os às secretarias de assistência social; todos instituíram órgãos executivos (coordenadorias ou subsecretarias) e, mais recentemente, passaram a articular redes municipais de proteção e enfrentamento à violência Corumbá (2017, </w:t>
      </w:r>
      <w:proofErr w:type="spellStart"/>
      <w:r w:rsidRPr="007105CD">
        <w:t>Ruiter</w:t>
      </w:r>
      <w:proofErr w:type="spellEnd"/>
      <w:r w:rsidRPr="007105CD">
        <w:t xml:space="preserve"> Cunha de Oliveira/PTB), Campo Grande (2018, </w:t>
      </w:r>
      <w:r w:rsidRPr="007105CD">
        <w:lastRenderedPageBreak/>
        <w:t xml:space="preserve">Marquinhos Trad/PSD) e Dourados (2024, Alan Guedes/PP) , enquanto Três Lagoas optou por um comitê para o Dossiê das Mulheres (2025, Marçal Filho). </w:t>
      </w:r>
    </w:p>
    <w:p w14:paraId="180EF0AF" w14:textId="49A2ED7E" w:rsidR="00432DD1" w:rsidRPr="007105CD" w:rsidRDefault="00432DD1" w:rsidP="00432DD1">
      <w:r w:rsidRPr="007105CD">
        <w:t xml:space="preserve">Ademais, três deles criaram fundos municipais específicos Três Lagoas (2009, Márcia Moura/DEM), Campo Grande (2018, Marquinhos Trad/PSD) e Corumbá (2024, Marcelo </w:t>
      </w:r>
      <w:proofErr w:type="spellStart"/>
      <w:r w:rsidRPr="007105CD">
        <w:t>Iunes</w:t>
      </w:r>
      <w:proofErr w:type="spellEnd"/>
      <w:r w:rsidRPr="007105CD">
        <w:t>/PSDB) e todos instituíram Procuradorias da Mulher em suas câmaras legislativas a partir de 2021, em um movimento coordenado que sugere a influência de fatores institucionais indutores para além das diferenças partidárias locais.</w:t>
      </w:r>
    </w:p>
    <w:p w14:paraId="65EBF320" w14:textId="5FC348E4" w:rsidR="00654CB0" w:rsidRDefault="00432DD1" w:rsidP="00432DD1">
      <w:r w:rsidRPr="007105CD">
        <w:t xml:space="preserve">No entanto, a análise de 185 registros oficiais desses municípios revela que o combate à violência ainda responde por aproximadamente um terço das iniciativas, sugerindo uma ênfase na dimensão reativa em detrimento de ações estruturantes voltadas à autonomia econômica, à participação política e à transversalidade de gênero nas demais políticas setoriais. </w:t>
      </w:r>
    </w:p>
    <w:p w14:paraId="03EA3D58" w14:textId="61348488" w:rsidR="004A046E" w:rsidRDefault="004A046E" w:rsidP="00432DD1">
      <w:r>
        <w:t>Mesmo assim, a violência contra mulher é não apenas persistente, mas crescente em Mato Grosso do Sul. O Gráfico 1</w:t>
      </w:r>
      <w:r w:rsidR="00CD341C">
        <w:t xml:space="preserve"> mostra um quadro de aparente estabilidade no número absoluto de mulheres vítimas de violência doméstica, com uma média de 8 vítimas a cada 1.000 habitantes</w:t>
      </w:r>
      <w:r w:rsidR="0071660C">
        <w:t xml:space="preserve"> para o período 2016-2025</w:t>
      </w:r>
      <w:r w:rsidR="00CD341C">
        <w:t xml:space="preserve">. Tais dados não mostrem tendência de crescimento no período, mas também não indicam tendência de queda, </w:t>
      </w:r>
      <w:r w:rsidR="00CD4851">
        <w:t>sendo, portanto,</w:t>
      </w:r>
      <w:r w:rsidR="00CD341C">
        <w:t xml:space="preserve"> resilientes às diversas ações da sociedade civil e do poder público no sentido de reduzi-la.</w:t>
      </w:r>
    </w:p>
    <w:p w14:paraId="0EB57563" w14:textId="74FCFDD3" w:rsidR="004A046E" w:rsidRPr="004A046E" w:rsidRDefault="004A046E" w:rsidP="004A046E">
      <w:pPr>
        <w:jc w:val="center"/>
        <w:rPr>
          <w:b/>
          <w:bCs/>
        </w:rPr>
      </w:pPr>
      <w:r>
        <w:rPr>
          <w:b/>
          <w:bCs/>
        </w:rPr>
        <w:t>Gráfico 1 – Mulheres vítimas de violência doméstica, 2016-2026, MS</w:t>
      </w:r>
      <w:r w:rsidR="0068209E">
        <w:rPr>
          <w:b/>
          <w:bCs/>
        </w:rPr>
        <w:t xml:space="preserve"> (valores absolutos)</w:t>
      </w:r>
    </w:p>
    <w:p w14:paraId="615634BE" w14:textId="50C09FDD" w:rsidR="004A046E" w:rsidRDefault="004A046E" w:rsidP="00432DD1">
      <w:r>
        <w:rPr>
          <w:noProof/>
        </w:rPr>
        <w:drawing>
          <wp:inline distT="0" distB="0" distL="0" distR="0" wp14:anchorId="62B53267" wp14:editId="20AB9E2D">
            <wp:extent cx="5760085" cy="2050415"/>
            <wp:effectExtent l="0" t="0" r="0" b="698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2050415"/>
                    </a:xfrm>
                    <a:prstGeom prst="rect">
                      <a:avLst/>
                    </a:prstGeom>
                    <a:noFill/>
                    <a:ln>
                      <a:noFill/>
                    </a:ln>
                  </pic:spPr>
                </pic:pic>
              </a:graphicData>
            </a:graphic>
          </wp:inline>
        </w:drawing>
      </w:r>
    </w:p>
    <w:p w14:paraId="0E4ED4DB" w14:textId="02B42CD5" w:rsidR="00275E0D" w:rsidRPr="00275E0D" w:rsidRDefault="00275E0D" w:rsidP="00432DD1">
      <w:pPr>
        <w:rPr>
          <w:sz w:val="20"/>
          <w:szCs w:val="20"/>
        </w:rPr>
      </w:pPr>
      <w:r w:rsidRPr="00275E0D">
        <w:rPr>
          <w:i/>
          <w:iCs/>
          <w:sz w:val="20"/>
          <w:szCs w:val="20"/>
        </w:rPr>
        <w:t>Fonte: SIGO/MS</w:t>
      </w:r>
      <w:r>
        <w:rPr>
          <w:rStyle w:val="Refdenotaderodap"/>
          <w:i/>
          <w:iCs/>
          <w:sz w:val="20"/>
          <w:szCs w:val="20"/>
        </w:rPr>
        <w:footnoteReference w:id="3"/>
      </w:r>
    </w:p>
    <w:p w14:paraId="550343DB" w14:textId="77777777" w:rsidR="00275E0D" w:rsidRDefault="00275E0D" w:rsidP="00432DD1"/>
    <w:p w14:paraId="252AC068" w14:textId="69BBAC47" w:rsidR="00CD4851" w:rsidRDefault="00CD4851" w:rsidP="00432DD1">
      <w:r>
        <w:lastRenderedPageBreak/>
        <w:t>A mesma estabilidade pode ser encontrada nos registros de feminicídio, com média de 2,56 mortes por 100.000 mulheres ao longo de 2021 a 2025. Tal taxa é superior à média brasileira</w:t>
      </w:r>
      <w:r w:rsidR="0043501F">
        <w:t>, que gravitou em torno de 1,36 no mesmo período</w:t>
      </w:r>
      <w:r w:rsidR="005757A7">
        <w:t>. Além disso, em 2025, o Mato Grosso do Sul aparece como o 4° estado com maior registro desse tipo de crime entre as unidades da federação brasileiras, ficando abaixo apenas do Acre (3,2), Rondônia (2,9) e Mato Grosso (2,7)</w:t>
      </w:r>
      <w:r w:rsidR="0092714F">
        <w:rPr>
          <w:rStyle w:val="Refdenotaderodap"/>
        </w:rPr>
        <w:footnoteReference w:id="4"/>
      </w:r>
      <w:r w:rsidR="005757A7">
        <w:t xml:space="preserve">. </w:t>
      </w:r>
    </w:p>
    <w:p w14:paraId="5FCD0E63" w14:textId="65AB595B" w:rsidR="00AF61D7" w:rsidRDefault="00AF61D7" w:rsidP="00432DD1">
      <w:r>
        <w:t>A taxa de feminicídio no período analisado (2021-2025) apresentou um incremento de 14% em Mato Grosso do Sul, praticamente igual à variação da média brasileira no mesmo intervalo temporal</w:t>
      </w:r>
      <w:r>
        <w:rPr>
          <w:rStyle w:val="Refdenotaderodap"/>
        </w:rPr>
        <w:footnoteReference w:id="5"/>
      </w:r>
      <w:r>
        <w:t xml:space="preserve">. Contudo, conforme pode ser observado pelo Gráfico 2, os registros de tentativas de feminicídio apresentaram uma tendência não muito linear, crescendo fortemente de 2020 para 2023 e, depois, caindo no biênio 2024-2025. </w:t>
      </w:r>
    </w:p>
    <w:p w14:paraId="7146AD53" w14:textId="29396104" w:rsidR="001216C7" w:rsidRDefault="00AF61D7" w:rsidP="007C6D6C">
      <w:pPr>
        <w:rPr>
          <w:b/>
          <w:bCs/>
        </w:rPr>
      </w:pPr>
      <w:r>
        <w:t>Muito provavelmente, o salto observado em 2021-2023 decorreu da pandemia de Covid-19, que exigiu medidas de redução de circulação das pessoas e, portanto, colocando as mulheres mais próximas de seus potenciais agressores por mais tempo</w:t>
      </w:r>
      <w:r w:rsidR="007C6D6C">
        <w:t xml:space="preserve">. </w:t>
      </w:r>
    </w:p>
    <w:p w14:paraId="6B0B28B8" w14:textId="62F503F9" w:rsidR="001216C7" w:rsidRPr="004A046E" w:rsidRDefault="001216C7" w:rsidP="001216C7">
      <w:pPr>
        <w:jc w:val="center"/>
        <w:rPr>
          <w:b/>
          <w:bCs/>
        </w:rPr>
      </w:pPr>
      <w:r>
        <w:rPr>
          <w:b/>
          <w:bCs/>
        </w:rPr>
        <w:t>Gráfico 2 – Mulheres vítimas tentativa de homicídio (feminicídio), 2016-2026, MS (valores absolutos)</w:t>
      </w:r>
    </w:p>
    <w:p w14:paraId="03623EAD" w14:textId="77777777" w:rsidR="001216C7" w:rsidRDefault="001216C7" w:rsidP="00432DD1"/>
    <w:p w14:paraId="2F60DFF3" w14:textId="40672ADF" w:rsidR="001216C7" w:rsidRDefault="001216C7" w:rsidP="00AF61D7">
      <w:pPr>
        <w:ind w:left="-709"/>
      </w:pPr>
      <w:r>
        <w:rPr>
          <w:noProof/>
        </w:rPr>
        <w:drawing>
          <wp:inline distT="0" distB="0" distL="0" distR="0" wp14:anchorId="72B63753" wp14:editId="02A75D87">
            <wp:extent cx="5862258" cy="3011170"/>
            <wp:effectExtent l="0" t="0" r="571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9316" cy="3030205"/>
                    </a:xfrm>
                    <a:prstGeom prst="rect">
                      <a:avLst/>
                    </a:prstGeom>
                    <a:noFill/>
                    <a:ln>
                      <a:noFill/>
                    </a:ln>
                  </pic:spPr>
                </pic:pic>
              </a:graphicData>
            </a:graphic>
          </wp:inline>
        </w:drawing>
      </w:r>
    </w:p>
    <w:p w14:paraId="1AECB390" w14:textId="7E030EBC" w:rsidR="001216C7" w:rsidRPr="00275E0D" w:rsidRDefault="001216C7" w:rsidP="001216C7">
      <w:pPr>
        <w:rPr>
          <w:sz w:val="20"/>
          <w:szCs w:val="20"/>
        </w:rPr>
      </w:pPr>
      <w:r w:rsidRPr="00275E0D">
        <w:rPr>
          <w:i/>
          <w:iCs/>
          <w:sz w:val="20"/>
          <w:szCs w:val="20"/>
        </w:rPr>
        <w:t>Fonte: SIGO/MS</w:t>
      </w:r>
    </w:p>
    <w:p w14:paraId="20719F93" w14:textId="77777777" w:rsidR="001216C7" w:rsidRDefault="001216C7" w:rsidP="00432DD1"/>
    <w:p w14:paraId="10341C3B" w14:textId="63F09ADB" w:rsidR="00432DD1" w:rsidRPr="007105CD" w:rsidRDefault="00432DD1" w:rsidP="00432DD1">
      <w:r w:rsidRPr="007105CD">
        <w:lastRenderedPageBreak/>
        <w:t>Essa constatação aponta para a persistência de desafios que exigem investigação aprofundada, especialmente no que tange ao papel dos fatores políticos incluindo a orientação partidária, a alternância de poder e a pressão da sociedade civil na definição das prioridades da agenda local.</w:t>
      </w:r>
    </w:p>
    <w:p w14:paraId="493EB634" w14:textId="64D463EF" w:rsidR="00432DD1" w:rsidRDefault="002019F1" w:rsidP="00290078">
      <w:r>
        <w:t>Ao mesmo tempo em que</w:t>
      </w:r>
      <w:r w:rsidR="00FF7EF3">
        <w:t xml:space="preserve"> as mulheres em Mato Grosso do Sul estão, na média, mais expostas a violência diversas, incluindo feminicídios, sua presença na política estadual é reduzida. Nas eleições de 2024, mais de 80% das candidaturas para as prefeituras do estado foram de homens. Consequentemente, mais de 80% dos prefeitos eleitos foram homens.</w:t>
      </w:r>
    </w:p>
    <w:p w14:paraId="430AAEC7" w14:textId="77777777" w:rsidR="00FF7EF3" w:rsidRDefault="00FF7EF3" w:rsidP="00290078"/>
    <w:p w14:paraId="6DC53B9E" w14:textId="3B435184" w:rsidR="00FF7EF3" w:rsidRPr="00FF7EF3" w:rsidRDefault="00FF7EF3" w:rsidP="00FF7EF3">
      <w:pPr>
        <w:jc w:val="center"/>
        <w:rPr>
          <w:b/>
          <w:bCs/>
        </w:rPr>
      </w:pPr>
      <w:r>
        <w:rPr>
          <w:b/>
          <w:bCs/>
        </w:rPr>
        <w:t>Tabela 1 – Candidatos e eleitos, 1° turno das Eleições municipais de 2024, MS</w:t>
      </w:r>
    </w:p>
    <w:tbl>
      <w:tblPr>
        <w:tblStyle w:val="Tabelacomgrade"/>
        <w:tblW w:w="5387" w:type="dxa"/>
        <w:jc w:val="center"/>
        <w:tblLook w:val="04A0" w:firstRow="1" w:lastRow="0" w:firstColumn="1" w:lastColumn="0" w:noHBand="0" w:noVBand="1"/>
      </w:tblPr>
      <w:tblGrid>
        <w:gridCol w:w="1766"/>
        <w:gridCol w:w="1920"/>
        <w:gridCol w:w="1701"/>
      </w:tblGrid>
      <w:tr w:rsidR="00FF7EF3" w:rsidRPr="00FF7EF3" w14:paraId="078ADB81" w14:textId="77777777" w:rsidTr="00D2444A">
        <w:trPr>
          <w:trHeight w:val="447"/>
          <w:jc w:val="center"/>
        </w:trPr>
        <w:tc>
          <w:tcPr>
            <w:tcW w:w="1766" w:type="dxa"/>
            <w:hideMark/>
          </w:tcPr>
          <w:p w14:paraId="37DEDC1C" w14:textId="77777777" w:rsidR="00FF7EF3" w:rsidRPr="00FF7EF3" w:rsidRDefault="00FF7EF3" w:rsidP="00FF7EF3">
            <w:pPr>
              <w:spacing w:line="240" w:lineRule="auto"/>
              <w:ind w:firstLine="0"/>
              <w:jc w:val="center"/>
              <w:rPr>
                <w:rFonts w:eastAsia="Times New Roman" w:cs="Times New Roman"/>
                <w:b/>
                <w:bCs/>
                <w:color w:val="262626"/>
                <w:sz w:val="20"/>
                <w:szCs w:val="20"/>
              </w:rPr>
            </w:pPr>
            <w:r w:rsidRPr="00FF7EF3">
              <w:rPr>
                <w:rFonts w:eastAsia="Times New Roman" w:cs="Times New Roman"/>
                <w:b/>
                <w:bCs/>
                <w:color w:val="262626"/>
                <w:sz w:val="20"/>
                <w:szCs w:val="20"/>
              </w:rPr>
              <w:t>Gênero</w:t>
            </w:r>
          </w:p>
        </w:tc>
        <w:tc>
          <w:tcPr>
            <w:tcW w:w="1920" w:type="dxa"/>
            <w:hideMark/>
          </w:tcPr>
          <w:p w14:paraId="7BAEEF04" w14:textId="77777777" w:rsidR="00FF7EF3" w:rsidRPr="00FF7EF3" w:rsidRDefault="00FF7EF3" w:rsidP="00FF7EF3">
            <w:pPr>
              <w:spacing w:line="240" w:lineRule="auto"/>
              <w:ind w:firstLine="0"/>
              <w:jc w:val="center"/>
              <w:rPr>
                <w:rFonts w:eastAsia="Times New Roman" w:cs="Times New Roman"/>
                <w:b/>
                <w:bCs/>
                <w:color w:val="262626"/>
                <w:sz w:val="20"/>
                <w:szCs w:val="20"/>
              </w:rPr>
            </w:pPr>
            <w:r w:rsidRPr="00FF7EF3">
              <w:rPr>
                <w:rFonts w:eastAsia="Times New Roman" w:cs="Times New Roman"/>
                <w:b/>
                <w:bCs/>
                <w:color w:val="262626"/>
                <w:sz w:val="20"/>
                <w:szCs w:val="20"/>
              </w:rPr>
              <w:t>Candidaturas</w:t>
            </w:r>
          </w:p>
        </w:tc>
        <w:tc>
          <w:tcPr>
            <w:tcW w:w="1701" w:type="dxa"/>
            <w:hideMark/>
          </w:tcPr>
          <w:p w14:paraId="01146C49" w14:textId="77777777" w:rsidR="00FF7EF3" w:rsidRPr="00FF7EF3" w:rsidRDefault="00FF7EF3" w:rsidP="00FF7EF3">
            <w:pPr>
              <w:spacing w:line="240" w:lineRule="auto"/>
              <w:ind w:firstLine="0"/>
              <w:jc w:val="center"/>
              <w:rPr>
                <w:rFonts w:eastAsia="Times New Roman" w:cs="Times New Roman"/>
                <w:b/>
                <w:bCs/>
                <w:color w:val="262626"/>
                <w:sz w:val="20"/>
                <w:szCs w:val="20"/>
              </w:rPr>
            </w:pPr>
            <w:r w:rsidRPr="00FF7EF3">
              <w:rPr>
                <w:rFonts w:eastAsia="Times New Roman" w:cs="Times New Roman"/>
                <w:b/>
                <w:bCs/>
                <w:color w:val="262626"/>
                <w:sz w:val="20"/>
                <w:szCs w:val="20"/>
              </w:rPr>
              <w:t>Eleitas e eleitos</w:t>
            </w:r>
          </w:p>
        </w:tc>
      </w:tr>
      <w:tr w:rsidR="00D2444A" w:rsidRPr="00FF7EF3" w14:paraId="21BF1AC4" w14:textId="77777777" w:rsidTr="00D2444A">
        <w:trPr>
          <w:trHeight w:val="315"/>
          <w:jc w:val="center"/>
        </w:trPr>
        <w:tc>
          <w:tcPr>
            <w:tcW w:w="1766" w:type="dxa"/>
            <w:hideMark/>
          </w:tcPr>
          <w:p w14:paraId="75139311" w14:textId="77777777" w:rsidR="00FF7EF3" w:rsidRPr="00FF7EF3" w:rsidRDefault="00FF7EF3" w:rsidP="00FF7EF3">
            <w:pPr>
              <w:spacing w:line="240" w:lineRule="auto"/>
              <w:ind w:firstLine="0"/>
              <w:jc w:val="left"/>
              <w:rPr>
                <w:rFonts w:eastAsia="Times New Roman" w:cs="Times New Roman"/>
                <w:color w:val="262626"/>
                <w:sz w:val="20"/>
                <w:szCs w:val="20"/>
              </w:rPr>
            </w:pPr>
            <w:r w:rsidRPr="00FF7EF3">
              <w:rPr>
                <w:rFonts w:eastAsia="Times New Roman" w:cs="Times New Roman"/>
                <w:color w:val="262626"/>
                <w:sz w:val="20"/>
                <w:szCs w:val="20"/>
              </w:rPr>
              <w:t>Feminino</w:t>
            </w:r>
          </w:p>
        </w:tc>
        <w:tc>
          <w:tcPr>
            <w:tcW w:w="1920" w:type="dxa"/>
            <w:hideMark/>
          </w:tcPr>
          <w:p w14:paraId="0AFDE927" w14:textId="7596EEBF" w:rsidR="00FF7EF3" w:rsidRPr="00FF7EF3" w:rsidRDefault="00FF7EF3" w:rsidP="00FF7EF3">
            <w:pPr>
              <w:spacing w:line="240" w:lineRule="auto"/>
              <w:ind w:firstLine="0"/>
              <w:jc w:val="right"/>
              <w:rPr>
                <w:rFonts w:eastAsia="Times New Roman" w:cs="Times New Roman"/>
                <w:color w:val="262626"/>
                <w:sz w:val="20"/>
                <w:szCs w:val="20"/>
              </w:rPr>
            </w:pPr>
            <w:r w:rsidRPr="00FF7EF3">
              <w:rPr>
                <w:rFonts w:eastAsia="Times New Roman" w:cs="Times New Roman"/>
                <w:color w:val="262626"/>
                <w:sz w:val="20"/>
                <w:szCs w:val="20"/>
              </w:rPr>
              <w:t>39</w:t>
            </w:r>
            <w:r>
              <w:rPr>
                <w:rFonts w:eastAsia="Times New Roman" w:cs="Times New Roman"/>
                <w:color w:val="262626"/>
                <w:sz w:val="20"/>
                <w:szCs w:val="20"/>
              </w:rPr>
              <w:t xml:space="preserve"> (16,6%)</w:t>
            </w:r>
          </w:p>
        </w:tc>
        <w:tc>
          <w:tcPr>
            <w:tcW w:w="1701" w:type="dxa"/>
            <w:hideMark/>
          </w:tcPr>
          <w:p w14:paraId="49E643AD" w14:textId="5DC026C8" w:rsidR="00FF7EF3" w:rsidRPr="00FF7EF3" w:rsidRDefault="00FF7EF3" w:rsidP="00FF7EF3">
            <w:pPr>
              <w:spacing w:line="240" w:lineRule="auto"/>
              <w:ind w:firstLine="0"/>
              <w:jc w:val="right"/>
              <w:rPr>
                <w:rFonts w:eastAsia="Times New Roman" w:cs="Times New Roman"/>
                <w:color w:val="262626"/>
                <w:sz w:val="20"/>
                <w:szCs w:val="20"/>
              </w:rPr>
            </w:pPr>
            <w:r w:rsidRPr="00FF7EF3">
              <w:rPr>
                <w:rFonts w:eastAsia="Times New Roman" w:cs="Times New Roman"/>
                <w:color w:val="262626"/>
                <w:sz w:val="20"/>
                <w:szCs w:val="20"/>
              </w:rPr>
              <w:t>12</w:t>
            </w:r>
            <w:r>
              <w:rPr>
                <w:rFonts w:eastAsia="Times New Roman" w:cs="Times New Roman"/>
                <w:color w:val="262626"/>
                <w:sz w:val="20"/>
                <w:szCs w:val="20"/>
              </w:rPr>
              <w:t xml:space="preserve"> (15,5%)</w:t>
            </w:r>
          </w:p>
        </w:tc>
      </w:tr>
      <w:tr w:rsidR="00FF7EF3" w:rsidRPr="00FF7EF3" w14:paraId="1DCC8BFF" w14:textId="77777777" w:rsidTr="00D2444A">
        <w:trPr>
          <w:trHeight w:val="315"/>
          <w:jc w:val="center"/>
        </w:trPr>
        <w:tc>
          <w:tcPr>
            <w:tcW w:w="1766" w:type="dxa"/>
            <w:hideMark/>
          </w:tcPr>
          <w:p w14:paraId="3B729FA7" w14:textId="77777777" w:rsidR="00FF7EF3" w:rsidRPr="00FF7EF3" w:rsidRDefault="00FF7EF3" w:rsidP="00FF7EF3">
            <w:pPr>
              <w:spacing w:line="240" w:lineRule="auto"/>
              <w:ind w:firstLine="0"/>
              <w:jc w:val="left"/>
              <w:rPr>
                <w:rFonts w:eastAsia="Times New Roman" w:cs="Times New Roman"/>
                <w:color w:val="262626"/>
                <w:sz w:val="20"/>
                <w:szCs w:val="20"/>
              </w:rPr>
            </w:pPr>
            <w:r w:rsidRPr="00FF7EF3">
              <w:rPr>
                <w:rFonts w:eastAsia="Times New Roman" w:cs="Times New Roman"/>
                <w:color w:val="262626"/>
                <w:sz w:val="20"/>
                <w:szCs w:val="20"/>
              </w:rPr>
              <w:t>Masculino</w:t>
            </w:r>
          </w:p>
        </w:tc>
        <w:tc>
          <w:tcPr>
            <w:tcW w:w="1920" w:type="dxa"/>
            <w:hideMark/>
          </w:tcPr>
          <w:p w14:paraId="3763AA54" w14:textId="029CACCB" w:rsidR="00FF7EF3" w:rsidRPr="00FF7EF3" w:rsidRDefault="00FF7EF3" w:rsidP="00FF7EF3">
            <w:pPr>
              <w:spacing w:line="240" w:lineRule="auto"/>
              <w:ind w:firstLine="0"/>
              <w:jc w:val="right"/>
              <w:rPr>
                <w:rFonts w:eastAsia="Times New Roman" w:cs="Times New Roman"/>
                <w:color w:val="262626"/>
                <w:sz w:val="20"/>
                <w:szCs w:val="20"/>
              </w:rPr>
            </w:pPr>
            <w:r w:rsidRPr="00FF7EF3">
              <w:rPr>
                <w:rFonts w:eastAsia="Times New Roman" w:cs="Times New Roman"/>
                <w:color w:val="262626"/>
                <w:sz w:val="20"/>
                <w:szCs w:val="20"/>
              </w:rPr>
              <w:t>195</w:t>
            </w:r>
            <w:r>
              <w:rPr>
                <w:rFonts w:eastAsia="Times New Roman" w:cs="Times New Roman"/>
                <w:color w:val="262626"/>
                <w:sz w:val="20"/>
                <w:szCs w:val="20"/>
              </w:rPr>
              <w:t xml:space="preserve"> (83,4%)</w:t>
            </w:r>
          </w:p>
        </w:tc>
        <w:tc>
          <w:tcPr>
            <w:tcW w:w="1701" w:type="dxa"/>
            <w:hideMark/>
          </w:tcPr>
          <w:p w14:paraId="058A1822" w14:textId="5F64E78A" w:rsidR="00FF7EF3" w:rsidRPr="00FF7EF3" w:rsidRDefault="00FF7EF3" w:rsidP="00FF7EF3">
            <w:pPr>
              <w:spacing w:line="240" w:lineRule="auto"/>
              <w:ind w:firstLine="0"/>
              <w:jc w:val="right"/>
              <w:rPr>
                <w:rFonts w:eastAsia="Times New Roman" w:cs="Times New Roman"/>
                <w:color w:val="262626"/>
                <w:sz w:val="20"/>
                <w:szCs w:val="20"/>
              </w:rPr>
            </w:pPr>
            <w:r w:rsidRPr="00FF7EF3">
              <w:rPr>
                <w:rFonts w:eastAsia="Times New Roman" w:cs="Times New Roman"/>
                <w:color w:val="262626"/>
                <w:sz w:val="20"/>
                <w:szCs w:val="20"/>
              </w:rPr>
              <w:t>65</w:t>
            </w:r>
            <w:r>
              <w:rPr>
                <w:rFonts w:eastAsia="Times New Roman" w:cs="Times New Roman"/>
                <w:color w:val="262626"/>
                <w:sz w:val="20"/>
                <w:szCs w:val="20"/>
              </w:rPr>
              <w:t xml:space="preserve"> (84,4)</w:t>
            </w:r>
          </w:p>
        </w:tc>
      </w:tr>
      <w:tr w:rsidR="00D2444A" w:rsidRPr="00FF7EF3" w14:paraId="5451EDFF" w14:textId="77777777" w:rsidTr="00D2444A">
        <w:trPr>
          <w:trHeight w:val="227"/>
          <w:jc w:val="center"/>
        </w:trPr>
        <w:tc>
          <w:tcPr>
            <w:tcW w:w="1766" w:type="dxa"/>
            <w:hideMark/>
          </w:tcPr>
          <w:p w14:paraId="4B237F97" w14:textId="77777777" w:rsidR="00FF7EF3" w:rsidRPr="00FF7EF3" w:rsidRDefault="00FF7EF3" w:rsidP="00FF7EF3">
            <w:pPr>
              <w:spacing w:line="240" w:lineRule="auto"/>
              <w:ind w:firstLine="0"/>
              <w:jc w:val="left"/>
              <w:rPr>
                <w:rFonts w:eastAsia="Times New Roman" w:cs="Times New Roman"/>
                <w:b/>
                <w:bCs/>
                <w:color w:val="262626"/>
                <w:sz w:val="20"/>
                <w:szCs w:val="20"/>
              </w:rPr>
            </w:pPr>
            <w:r w:rsidRPr="00FF7EF3">
              <w:rPr>
                <w:rFonts w:eastAsia="Times New Roman" w:cs="Times New Roman"/>
                <w:b/>
                <w:bCs/>
                <w:color w:val="262626"/>
                <w:sz w:val="20"/>
                <w:szCs w:val="20"/>
              </w:rPr>
              <w:t>Total Geral</w:t>
            </w:r>
          </w:p>
        </w:tc>
        <w:tc>
          <w:tcPr>
            <w:tcW w:w="1920" w:type="dxa"/>
            <w:hideMark/>
          </w:tcPr>
          <w:p w14:paraId="2BE2A869" w14:textId="77777777" w:rsidR="00FF7EF3" w:rsidRPr="00FF7EF3" w:rsidRDefault="00FF7EF3" w:rsidP="00FF7EF3">
            <w:pPr>
              <w:spacing w:line="240" w:lineRule="auto"/>
              <w:ind w:firstLine="0"/>
              <w:jc w:val="right"/>
              <w:rPr>
                <w:rFonts w:eastAsia="Times New Roman" w:cs="Times New Roman"/>
                <w:b/>
                <w:bCs/>
                <w:color w:val="262626"/>
                <w:sz w:val="20"/>
                <w:szCs w:val="20"/>
              </w:rPr>
            </w:pPr>
            <w:r w:rsidRPr="00FF7EF3">
              <w:rPr>
                <w:rFonts w:eastAsia="Times New Roman" w:cs="Times New Roman"/>
                <w:b/>
                <w:bCs/>
                <w:color w:val="262626"/>
                <w:sz w:val="20"/>
                <w:szCs w:val="20"/>
              </w:rPr>
              <w:t>234</w:t>
            </w:r>
          </w:p>
        </w:tc>
        <w:tc>
          <w:tcPr>
            <w:tcW w:w="1701" w:type="dxa"/>
            <w:hideMark/>
          </w:tcPr>
          <w:p w14:paraId="316394D8" w14:textId="77777777" w:rsidR="00FF7EF3" w:rsidRPr="00FF7EF3" w:rsidRDefault="00FF7EF3" w:rsidP="00FF7EF3">
            <w:pPr>
              <w:spacing w:line="240" w:lineRule="auto"/>
              <w:ind w:firstLine="0"/>
              <w:jc w:val="right"/>
              <w:rPr>
                <w:rFonts w:eastAsia="Times New Roman" w:cs="Times New Roman"/>
                <w:b/>
                <w:bCs/>
                <w:color w:val="262626"/>
                <w:sz w:val="20"/>
                <w:szCs w:val="20"/>
              </w:rPr>
            </w:pPr>
            <w:r w:rsidRPr="00FF7EF3">
              <w:rPr>
                <w:rFonts w:eastAsia="Times New Roman" w:cs="Times New Roman"/>
                <w:b/>
                <w:bCs/>
                <w:color w:val="262626"/>
                <w:sz w:val="20"/>
                <w:szCs w:val="20"/>
              </w:rPr>
              <w:t>77</w:t>
            </w:r>
          </w:p>
        </w:tc>
      </w:tr>
    </w:tbl>
    <w:p w14:paraId="2AC1B49F" w14:textId="4C864CC7" w:rsidR="00FF7EF3" w:rsidRPr="00D96DF8" w:rsidRDefault="00D96DF8" w:rsidP="00D96DF8">
      <w:pPr>
        <w:rPr>
          <w:i/>
          <w:iCs/>
          <w:sz w:val="18"/>
          <w:szCs w:val="18"/>
        </w:rPr>
      </w:pPr>
      <w:r w:rsidRPr="00D96DF8">
        <w:rPr>
          <w:i/>
          <w:iCs/>
          <w:sz w:val="18"/>
          <w:szCs w:val="18"/>
        </w:rPr>
        <w:t xml:space="preserve">                    </w:t>
      </w:r>
      <w:r>
        <w:rPr>
          <w:i/>
          <w:iCs/>
          <w:sz w:val="18"/>
          <w:szCs w:val="18"/>
        </w:rPr>
        <w:t xml:space="preserve">            </w:t>
      </w:r>
      <w:r w:rsidRPr="00D96DF8">
        <w:rPr>
          <w:i/>
          <w:iCs/>
          <w:sz w:val="18"/>
          <w:szCs w:val="18"/>
        </w:rPr>
        <w:t>Fonte: TSE</w:t>
      </w:r>
    </w:p>
    <w:p w14:paraId="2BC997DF" w14:textId="77777777" w:rsidR="00FF7EF3" w:rsidRDefault="00FF7EF3" w:rsidP="00290078"/>
    <w:p w14:paraId="18428CA3" w14:textId="2EFFE272" w:rsidR="00432DD1" w:rsidRDefault="00813F53" w:rsidP="00290078">
      <w:r>
        <w:t xml:space="preserve">A mesma predominância masculina observa-se nas Câmara Municipais. A </w:t>
      </w:r>
      <w:r w:rsidR="00C33133">
        <w:t xml:space="preserve">Tabela </w:t>
      </w:r>
      <w:r>
        <w:t>2</w:t>
      </w:r>
      <w:r w:rsidR="00C33133">
        <w:t xml:space="preserve"> mostra que as mulheres representaram em torno de 36% das candidaturas para vereador nas eleições de 2024 em Mato Grosso do Sul. Tal cifra gira em torno do mínimo legal (30%). Contudo, quando se olha os resultados, sua taxa de participação cai para 21%, aproximadamente. Logo, quase 80% dos vereadores são homens nos municípios de MS.</w:t>
      </w:r>
    </w:p>
    <w:p w14:paraId="1F3F889C" w14:textId="77777777" w:rsidR="00C33133" w:rsidRDefault="00C33133" w:rsidP="00290078"/>
    <w:p w14:paraId="1E86A6E0" w14:textId="0CF5713C" w:rsidR="00432DD1" w:rsidRDefault="00813F53" w:rsidP="002F3138">
      <w:pPr>
        <w:spacing w:line="240" w:lineRule="auto"/>
        <w:jc w:val="center"/>
        <w:rPr>
          <w:b/>
          <w:bCs/>
        </w:rPr>
      </w:pPr>
      <w:r>
        <w:rPr>
          <w:b/>
          <w:bCs/>
        </w:rPr>
        <w:t>Tabela 2 – Candidaturas e eleit</w:t>
      </w:r>
      <w:r w:rsidR="002F3138">
        <w:rPr>
          <w:b/>
          <w:bCs/>
        </w:rPr>
        <w:t>a/</w:t>
      </w:r>
      <w:r>
        <w:rPr>
          <w:b/>
          <w:bCs/>
        </w:rPr>
        <w:t>os em Mato Grosso do Sul por gênero, Eleições de 2024</w:t>
      </w:r>
    </w:p>
    <w:tbl>
      <w:tblPr>
        <w:tblStyle w:val="Tabelacomgrade"/>
        <w:tblW w:w="4531" w:type="dxa"/>
        <w:jc w:val="center"/>
        <w:tblLook w:val="04A0" w:firstRow="1" w:lastRow="0" w:firstColumn="1" w:lastColumn="0" w:noHBand="0" w:noVBand="1"/>
      </w:tblPr>
      <w:tblGrid>
        <w:gridCol w:w="1271"/>
        <w:gridCol w:w="1559"/>
        <w:gridCol w:w="1701"/>
      </w:tblGrid>
      <w:tr w:rsidR="00813F53" w:rsidRPr="00813F53" w14:paraId="0F6C343F" w14:textId="77777777" w:rsidTr="00D2444A">
        <w:trPr>
          <w:trHeight w:val="300"/>
          <w:jc w:val="center"/>
        </w:trPr>
        <w:tc>
          <w:tcPr>
            <w:tcW w:w="1271" w:type="dxa"/>
            <w:noWrap/>
            <w:hideMark/>
          </w:tcPr>
          <w:p w14:paraId="6D393659" w14:textId="77777777" w:rsidR="00813F53" w:rsidRPr="00813F53" w:rsidRDefault="00813F53" w:rsidP="00813F53">
            <w:pPr>
              <w:spacing w:line="240" w:lineRule="auto"/>
              <w:ind w:firstLine="0"/>
              <w:jc w:val="left"/>
              <w:rPr>
                <w:rFonts w:ascii="Calibri" w:eastAsia="Times New Roman" w:hAnsi="Calibri" w:cs="Calibri"/>
                <w:b/>
                <w:bCs/>
                <w:color w:val="000000"/>
                <w:sz w:val="22"/>
              </w:rPr>
            </w:pPr>
            <w:r w:rsidRPr="00813F53">
              <w:rPr>
                <w:rFonts w:ascii="Calibri" w:eastAsia="Times New Roman" w:hAnsi="Calibri" w:cs="Calibri"/>
                <w:b/>
                <w:bCs/>
                <w:color w:val="000000"/>
                <w:sz w:val="22"/>
              </w:rPr>
              <w:t>Gênero</w:t>
            </w:r>
          </w:p>
        </w:tc>
        <w:tc>
          <w:tcPr>
            <w:tcW w:w="1559" w:type="dxa"/>
            <w:noWrap/>
            <w:hideMark/>
          </w:tcPr>
          <w:p w14:paraId="46E6ED0B" w14:textId="77777777" w:rsidR="00813F53" w:rsidRPr="00813F53" w:rsidRDefault="00813F53" w:rsidP="00813F53">
            <w:pPr>
              <w:spacing w:line="240" w:lineRule="auto"/>
              <w:ind w:firstLine="0"/>
              <w:jc w:val="left"/>
              <w:rPr>
                <w:rFonts w:ascii="Calibri" w:eastAsia="Times New Roman" w:hAnsi="Calibri" w:cs="Calibri"/>
                <w:b/>
                <w:bCs/>
                <w:color w:val="000000"/>
                <w:sz w:val="22"/>
              </w:rPr>
            </w:pPr>
            <w:r w:rsidRPr="00813F53">
              <w:rPr>
                <w:rFonts w:ascii="Calibri" w:eastAsia="Times New Roman" w:hAnsi="Calibri" w:cs="Calibri"/>
                <w:b/>
                <w:bCs/>
                <w:color w:val="000000"/>
                <w:sz w:val="22"/>
              </w:rPr>
              <w:t>Candidaturas</w:t>
            </w:r>
          </w:p>
        </w:tc>
        <w:tc>
          <w:tcPr>
            <w:tcW w:w="1701" w:type="dxa"/>
            <w:noWrap/>
            <w:hideMark/>
          </w:tcPr>
          <w:p w14:paraId="24208A73" w14:textId="77777777" w:rsidR="00813F53" w:rsidRPr="00813F53" w:rsidRDefault="00813F53" w:rsidP="00813F53">
            <w:pPr>
              <w:spacing w:line="240" w:lineRule="auto"/>
              <w:ind w:firstLine="0"/>
              <w:jc w:val="left"/>
              <w:rPr>
                <w:rFonts w:ascii="Calibri" w:eastAsia="Times New Roman" w:hAnsi="Calibri" w:cs="Calibri"/>
                <w:b/>
                <w:bCs/>
                <w:color w:val="000000"/>
                <w:sz w:val="22"/>
              </w:rPr>
            </w:pPr>
            <w:r w:rsidRPr="00813F53">
              <w:rPr>
                <w:rFonts w:ascii="Calibri" w:eastAsia="Times New Roman" w:hAnsi="Calibri" w:cs="Calibri"/>
                <w:b/>
                <w:bCs/>
                <w:color w:val="000000"/>
                <w:sz w:val="22"/>
              </w:rPr>
              <w:t>Eleitas e eleitos</w:t>
            </w:r>
          </w:p>
        </w:tc>
      </w:tr>
      <w:tr w:rsidR="00813F53" w:rsidRPr="00813F53" w14:paraId="2A886D16" w14:textId="77777777" w:rsidTr="00D2444A">
        <w:trPr>
          <w:trHeight w:val="300"/>
          <w:jc w:val="center"/>
        </w:trPr>
        <w:tc>
          <w:tcPr>
            <w:tcW w:w="1271" w:type="dxa"/>
            <w:noWrap/>
            <w:hideMark/>
          </w:tcPr>
          <w:p w14:paraId="451D1FE4" w14:textId="77777777" w:rsidR="00813F53" w:rsidRPr="00813F53" w:rsidRDefault="00813F53" w:rsidP="00813F53">
            <w:pPr>
              <w:spacing w:line="240" w:lineRule="auto"/>
              <w:ind w:firstLine="0"/>
              <w:jc w:val="left"/>
              <w:rPr>
                <w:rFonts w:ascii="Calibri" w:eastAsia="Times New Roman" w:hAnsi="Calibri" w:cs="Calibri"/>
                <w:color w:val="000000"/>
                <w:sz w:val="22"/>
              </w:rPr>
            </w:pPr>
            <w:r w:rsidRPr="00813F53">
              <w:rPr>
                <w:rFonts w:ascii="Calibri" w:eastAsia="Times New Roman" w:hAnsi="Calibri" w:cs="Calibri"/>
                <w:color w:val="000000"/>
                <w:sz w:val="22"/>
              </w:rPr>
              <w:t>Feminino</w:t>
            </w:r>
          </w:p>
        </w:tc>
        <w:tc>
          <w:tcPr>
            <w:tcW w:w="1559" w:type="dxa"/>
            <w:noWrap/>
            <w:hideMark/>
          </w:tcPr>
          <w:p w14:paraId="095D40DA" w14:textId="59932E07" w:rsidR="00813F53" w:rsidRPr="00813F53" w:rsidRDefault="00813F53" w:rsidP="00813F53">
            <w:pPr>
              <w:spacing w:line="240" w:lineRule="auto"/>
              <w:ind w:firstLine="0"/>
              <w:jc w:val="right"/>
              <w:rPr>
                <w:rFonts w:ascii="Calibri" w:eastAsia="Times New Roman" w:hAnsi="Calibri" w:cs="Calibri"/>
                <w:color w:val="000000"/>
                <w:sz w:val="22"/>
              </w:rPr>
            </w:pPr>
            <w:r w:rsidRPr="00813F53">
              <w:rPr>
                <w:rFonts w:ascii="Calibri" w:eastAsia="Times New Roman" w:hAnsi="Calibri" w:cs="Calibri"/>
                <w:color w:val="000000"/>
                <w:sz w:val="22"/>
              </w:rPr>
              <w:t>2.516</w:t>
            </w:r>
            <w:r w:rsidR="00D2444A">
              <w:rPr>
                <w:rFonts w:ascii="Calibri" w:eastAsia="Times New Roman" w:hAnsi="Calibri" w:cs="Calibri"/>
                <w:color w:val="000000"/>
                <w:sz w:val="22"/>
              </w:rPr>
              <w:t xml:space="preserve"> (36,48%)</w:t>
            </w:r>
          </w:p>
        </w:tc>
        <w:tc>
          <w:tcPr>
            <w:tcW w:w="1701" w:type="dxa"/>
            <w:noWrap/>
            <w:hideMark/>
          </w:tcPr>
          <w:p w14:paraId="598DA88F" w14:textId="3D148D3B" w:rsidR="00813F53" w:rsidRPr="00813F53" w:rsidRDefault="00813F53" w:rsidP="00813F53">
            <w:pPr>
              <w:spacing w:line="240" w:lineRule="auto"/>
              <w:ind w:firstLine="0"/>
              <w:jc w:val="right"/>
              <w:rPr>
                <w:rFonts w:ascii="Calibri" w:eastAsia="Times New Roman" w:hAnsi="Calibri" w:cs="Calibri"/>
                <w:color w:val="000000"/>
                <w:sz w:val="22"/>
              </w:rPr>
            </w:pPr>
            <w:r w:rsidRPr="00813F53">
              <w:rPr>
                <w:rFonts w:ascii="Calibri" w:eastAsia="Times New Roman" w:hAnsi="Calibri" w:cs="Calibri"/>
                <w:color w:val="000000"/>
                <w:sz w:val="22"/>
              </w:rPr>
              <w:t>181</w:t>
            </w:r>
            <w:r w:rsidR="00D2444A">
              <w:rPr>
                <w:rFonts w:ascii="Calibri" w:eastAsia="Times New Roman" w:hAnsi="Calibri" w:cs="Calibri"/>
                <w:color w:val="000000"/>
                <w:sz w:val="22"/>
              </w:rPr>
              <w:t xml:space="preserve"> (21,32%)</w:t>
            </w:r>
          </w:p>
        </w:tc>
      </w:tr>
      <w:tr w:rsidR="00813F53" w:rsidRPr="00813F53" w14:paraId="1FA0A9E4" w14:textId="77777777" w:rsidTr="00D2444A">
        <w:trPr>
          <w:trHeight w:val="300"/>
          <w:jc w:val="center"/>
        </w:trPr>
        <w:tc>
          <w:tcPr>
            <w:tcW w:w="1271" w:type="dxa"/>
            <w:noWrap/>
            <w:hideMark/>
          </w:tcPr>
          <w:p w14:paraId="4ECDB77D" w14:textId="77777777" w:rsidR="00813F53" w:rsidRPr="00813F53" w:rsidRDefault="00813F53" w:rsidP="00813F53">
            <w:pPr>
              <w:spacing w:line="240" w:lineRule="auto"/>
              <w:ind w:firstLine="0"/>
              <w:jc w:val="left"/>
              <w:rPr>
                <w:rFonts w:ascii="Calibri" w:eastAsia="Times New Roman" w:hAnsi="Calibri" w:cs="Calibri"/>
                <w:color w:val="000000"/>
                <w:sz w:val="22"/>
              </w:rPr>
            </w:pPr>
            <w:r w:rsidRPr="00813F53">
              <w:rPr>
                <w:rFonts w:ascii="Calibri" w:eastAsia="Times New Roman" w:hAnsi="Calibri" w:cs="Calibri"/>
                <w:color w:val="000000"/>
                <w:sz w:val="22"/>
              </w:rPr>
              <w:t>Masculino</w:t>
            </w:r>
          </w:p>
        </w:tc>
        <w:tc>
          <w:tcPr>
            <w:tcW w:w="1559" w:type="dxa"/>
            <w:noWrap/>
            <w:hideMark/>
          </w:tcPr>
          <w:p w14:paraId="45050FBA" w14:textId="6CEF1B4B" w:rsidR="00813F53" w:rsidRPr="00813F53" w:rsidRDefault="00813F53" w:rsidP="00813F53">
            <w:pPr>
              <w:spacing w:line="240" w:lineRule="auto"/>
              <w:ind w:firstLine="0"/>
              <w:jc w:val="right"/>
              <w:rPr>
                <w:rFonts w:ascii="Calibri" w:eastAsia="Times New Roman" w:hAnsi="Calibri" w:cs="Calibri"/>
                <w:color w:val="000000"/>
                <w:sz w:val="22"/>
              </w:rPr>
            </w:pPr>
            <w:r w:rsidRPr="00813F53">
              <w:rPr>
                <w:rFonts w:ascii="Calibri" w:eastAsia="Times New Roman" w:hAnsi="Calibri" w:cs="Calibri"/>
                <w:color w:val="000000"/>
                <w:sz w:val="22"/>
              </w:rPr>
              <w:t>4.381</w:t>
            </w:r>
            <w:r w:rsidR="00D2444A">
              <w:rPr>
                <w:rFonts w:ascii="Calibri" w:eastAsia="Times New Roman" w:hAnsi="Calibri" w:cs="Calibri"/>
                <w:color w:val="000000"/>
                <w:sz w:val="22"/>
              </w:rPr>
              <w:t xml:space="preserve"> (63,52%)</w:t>
            </w:r>
          </w:p>
        </w:tc>
        <w:tc>
          <w:tcPr>
            <w:tcW w:w="1701" w:type="dxa"/>
            <w:noWrap/>
            <w:hideMark/>
          </w:tcPr>
          <w:p w14:paraId="6E3919D3" w14:textId="5DAE6BA3" w:rsidR="00813F53" w:rsidRPr="00813F53" w:rsidRDefault="00813F53" w:rsidP="00813F53">
            <w:pPr>
              <w:spacing w:line="240" w:lineRule="auto"/>
              <w:ind w:firstLine="0"/>
              <w:jc w:val="right"/>
              <w:rPr>
                <w:rFonts w:ascii="Calibri" w:eastAsia="Times New Roman" w:hAnsi="Calibri" w:cs="Calibri"/>
                <w:color w:val="000000"/>
                <w:sz w:val="22"/>
              </w:rPr>
            </w:pPr>
            <w:r w:rsidRPr="00813F53">
              <w:rPr>
                <w:rFonts w:ascii="Calibri" w:eastAsia="Times New Roman" w:hAnsi="Calibri" w:cs="Calibri"/>
                <w:color w:val="000000"/>
                <w:sz w:val="22"/>
              </w:rPr>
              <w:t>668</w:t>
            </w:r>
            <w:r w:rsidR="00D2444A">
              <w:rPr>
                <w:rFonts w:ascii="Calibri" w:eastAsia="Times New Roman" w:hAnsi="Calibri" w:cs="Calibri"/>
                <w:color w:val="000000"/>
                <w:sz w:val="22"/>
              </w:rPr>
              <w:t xml:space="preserve"> (78,68%)</w:t>
            </w:r>
          </w:p>
        </w:tc>
      </w:tr>
      <w:tr w:rsidR="00813F53" w:rsidRPr="00813F53" w14:paraId="20D2BDA3" w14:textId="77777777" w:rsidTr="00D2444A">
        <w:trPr>
          <w:trHeight w:val="300"/>
          <w:jc w:val="center"/>
        </w:trPr>
        <w:tc>
          <w:tcPr>
            <w:tcW w:w="1271" w:type="dxa"/>
            <w:noWrap/>
            <w:hideMark/>
          </w:tcPr>
          <w:p w14:paraId="71A25B94" w14:textId="77777777" w:rsidR="00813F53" w:rsidRPr="00813F53" w:rsidRDefault="00813F53" w:rsidP="00813F53">
            <w:pPr>
              <w:spacing w:line="240" w:lineRule="auto"/>
              <w:ind w:firstLine="0"/>
              <w:jc w:val="left"/>
              <w:rPr>
                <w:rFonts w:ascii="Calibri" w:eastAsia="Times New Roman" w:hAnsi="Calibri" w:cs="Calibri"/>
                <w:b/>
                <w:bCs/>
                <w:color w:val="000000"/>
                <w:sz w:val="22"/>
              </w:rPr>
            </w:pPr>
            <w:r w:rsidRPr="00813F53">
              <w:rPr>
                <w:rFonts w:ascii="Calibri" w:eastAsia="Times New Roman" w:hAnsi="Calibri" w:cs="Calibri"/>
                <w:b/>
                <w:bCs/>
                <w:color w:val="000000"/>
                <w:sz w:val="22"/>
              </w:rPr>
              <w:t>Total Geral</w:t>
            </w:r>
          </w:p>
        </w:tc>
        <w:tc>
          <w:tcPr>
            <w:tcW w:w="1559" w:type="dxa"/>
            <w:noWrap/>
            <w:hideMark/>
          </w:tcPr>
          <w:p w14:paraId="7CA02F1A" w14:textId="77777777" w:rsidR="00813F53" w:rsidRPr="00813F53" w:rsidRDefault="00813F53" w:rsidP="00813F53">
            <w:pPr>
              <w:spacing w:line="240" w:lineRule="auto"/>
              <w:ind w:firstLine="0"/>
              <w:jc w:val="right"/>
              <w:rPr>
                <w:rFonts w:ascii="Calibri" w:eastAsia="Times New Roman" w:hAnsi="Calibri" w:cs="Calibri"/>
                <w:b/>
                <w:bCs/>
                <w:color w:val="000000"/>
                <w:sz w:val="22"/>
              </w:rPr>
            </w:pPr>
            <w:r w:rsidRPr="00813F53">
              <w:rPr>
                <w:rFonts w:ascii="Calibri" w:eastAsia="Times New Roman" w:hAnsi="Calibri" w:cs="Calibri"/>
                <w:b/>
                <w:bCs/>
                <w:color w:val="000000"/>
                <w:sz w:val="22"/>
              </w:rPr>
              <w:t>6.897</w:t>
            </w:r>
          </w:p>
        </w:tc>
        <w:tc>
          <w:tcPr>
            <w:tcW w:w="1701" w:type="dxa"/>
            <w:noWrap/>
            <w:hideMark/>
          </w:tcPr>
          <w:p w14:paraId="283BFFD8" w14:textId="77777777" w:rsidR="00813F53" w:rsidRPr="00813F53" w:rsidRDefault="00813F53" w:rsidP="00813F53">
            <w:pPr>
              <w:spacing w:line="240" w:lineRule="auto"/>
              <w:ind w:firstLine="0"/>
              <w:jc w:val="right"/>
              <w:rPr>
                <w:rFonts w:ascii="Calibri" w:eastAsia="Times New Roman" w:hAnsi="Calibri" w:cs="Calibri"/>
                <w:b/>
                <w:bCs/>
                <w:color w:val="000000"/>
                <w:sz w:val="22"/>
              </w:rPr>
            </w:pPr>
            <w:r w:rsidRPr="00813F53">
              <w:rPr>
                <w:rFonts w:ascii="Calibri" w:eastAsia="Times New Roman" w:hAnsi="Calibri" w:cs="Calibri"/>
                <w:b/>
                <w:bCs/>
                <w:color w:val="000000"/>
                <w:sz w:val="22"/>
              </w:rPr>
              <w:t>849</w:t>
            </w:r>
          </w:p>
        </w:tc>
      </w:tr>
    </w:tbl>
    <w:p w14:paraId="406B31EA" w14:textId="2C4B245D" w:rsidR="007915DC" w:rsidRPr="00D96DF8" w:rsidRDefault="007915DC" w:rsidP="007915DC">
      <w:pPr>
        <w:rPr>
          <w:i/>
          <w:iCs/>
          <w:sz w:val="18"/>
          <w:szCs w:val="18"/>
        </w:rPr>
      </w:pPr>
      <w:r w:rsidRPr="00D96DF8">
        <w:rPr>
          <w:i/>
          <w:iCs/>
          <w:sz w:val="18"/>
          <w:szCs w:val="18"/>
        </w:rPr>
        <w:t xml:space="preserve">                    </w:t>
      </w:r>
      <w:r>
        <w:rPr>
          <w:i/>
          <w:iCs/>
          <w:sz w:val="18"/>
          <w:szCs w:val="18"/>
        </w:rPr>
        <w:t xml:space="preserve">                    </w:t>
      </w:r>
      <w:r w:rsidRPr="00D96DF8">
        <w:rPr>
          <w:i/>
          <w:iCs/>
          <w:sz w:val="18"/>
          <w:szCs w:val="18"/>
        </w:rPr>
        <w:t>Fonte: TSE</w:t>
      </w:r>
    </w:p>
    <w:p w14:paraId="51C56869" w14:textId="316ABB51" w:rsidR="00813F53" w:rsidRDefault="00813F53" w:rsidP="002F3138">
      <w:pPr>
        <w:rPr>
          <w:b/>
          <w:bCs/>
        </w:rPr>
      </w:pPr>
    </w:p>
    <w:p w14:paraId="66A0CE11" w14:textId="58D0F74E" w:rsidR="002F3138" w:rsidRDefault="002F3138" w:rsidP="001A2C78">
      <w:pPr>
        <w:jc w:val="center"/>
      </w:pPr>
      <w:r>
        <w:t>Sendo assim, os dados elevados e persistentes sobre violência contra a mulher e feminicídio, por um lado, e a presença diminuta das mulheres em postos decisórios de natureza política indicam um padrão de desigualdades que ajudam a explicar</w:t>
      </w:r>
      <w:r w:rsidR="008B426F">
        <w:t xml:space="preserve"> as dificuldades no enfrentamento do problema da violência.</w:t>
      </w:r>
    </w:p>
    <w:p w14:paraId="4BB1D3D8" w14:textId="0ACF2C13" w:rsidR="00290078" w:rsidRDefault="008B426F" w:rsidP="00290078">
      <w:r>
        <w:t xml:space="preserve">Os dados sobre violência ajudam também a compreender um dos resultados desta pesquisa. </w:t>
      </w:r>
      <w:r w:rsidR="00290078" w:rsidRPr="00290078">
        <w:t>Os dados temáticos mostram que o combate à violência domina o campo de ação</w:t>
      </w:r>
      <w:r>
        <w:t xml:space="preserve"> pública </w:t>
      </w:r>
      <w:r>
        <w:lastRenderedPageBreak/>
        <w:t>dos municípios</w:t>
      </w:r>
      <w:r w:rsidR="00290078" w:rsidRPr="00290078">
        <w:t>, com 28,65% das iniciativas, seguido por conselhos e participação (13,51%), campanhas (11,35%) e saúde (8,65%). A predominância da violência reflete a urgência do problema e a forte indução da Lei Maria da Penha e dos pactos nacionais, mas também indica uma abordagem reativa que trata as mulheres prioritariamente como vítimas. As ações preventivas (28,11%) e estruturantes (17,30%) já representam parcela significativa, mostrando avanço para além do atendimento emergencial. Por área, a administração pública responde por 32,97% dos registros (criação de leis e normativos), seguida por segurança pública (18,92%) e saúde (14,05%).</w:t>
      </w:r>
    </w:p>
    <w:p w14:paraId="19E14707" w14:textId="77777777" w:rsidR="00654CB0" w:rsidRPr="00290078" w:rsidRDefault="00654CB0" w:rsidP="00290078"/>
    <w:p w14:paraId="30D65565" w14:textId="77777777" w:rsidR="00F82FF5" w:rsidRDefault="00205F0E">
      <w:pPr>
        <w:pStyle w:val="Ttulo1"/>
      </w:pPr>
      <w:r>
        <w:t>CONCLUSÃO</w:t>
      </w:r>
    </w:p>
    <w:p w14:paraId="0D4C5E4D" w14:textId="72C53F59" w:rsidR="00654CB0" w:rsidRDefault="00654CB0" w:rsidP="00FB72C3">
      <w:pPr>
        <w:spacing w:before="240"/>
      </w:pPr>
      <w:r>
        <w:t>Com relação aos achados desta pesquisa, as respostas são complexas</w:t>
      </w:r>
      <w:r w:rsidR="00432DD1" w:rsidRPr="00290078">
        <w:t xml:space="preserve">. Por um lado, há evidências de que fatores políticos importam: a criação da Secretaria Municipal em Campo Grande (2013) ocorreu em uma gestão (Alcides Bernal, PP) que buscou marcar posição; a criação da </w:t>
      </w:r>
      <w:commentRangeStart w:id="5"/>
      <w:r w:rsidR="00432DD1" w:rsidRPr="00290078">
        <w:t>CODAM</w:t>
      </w:r>
      <w:r w:rsidR="00FB72C3">
        <w:t xml:space="preserve"> (</w:t>
      </w:r>
      <w:r w:rsidR="00FB72C3" w:rsidRPr="00FB72C3">
        <w:t>Coordenadoria Municipal de Políticas para as Mulheres</w:t>
      </w:r>
      <w:r w:rsidR="00FB72C3">
        <w:t>)</w:t>
      </w:r>
      <w:r w:rsidR="00432DD1" w:rsidRPr="00290078">
        <w:t xml:space="preserve"> </w:t>
      </w:r>
      <w:commentRangeEnd w:id="5"/>
      <w:r w:rsidR="00F92B1B">
        <w:rPr>
          <w:rStyle w:val="Refdecomentrio"/>
        </w:rPr>
        <w:commentReference w:id="5"/>
      </w:r>
      <w:r w:rsidR="00432DD1" w:rsidRPr="00290078">
        <w:t xml:space="preserve">em 2005 foi impulsionada por movimentos feministas locais; em Dourados, a coordenadoria na gestão de Laerte </w:t>
      </w:r>
      <w:proofErr w:type="spellStart"/>
      <w:r w:rsidR="00432DD1" w:rsidRPr="00290078">
        <w:t>Tetila</w:t>
      </w:r>
      <w:proofErr w:type="spellEnd"/>
      <w:r w:rsidR="00432DD1" w:rsidRPr="00290078">
        <w:t xml:space="preserve"> (PT) reflete a agenda de gênero associada à esquerda. Por outro lado, há fortes fatores institucionais indutores: as Procuradorias da Mulher surgiram em todas as câmaras em 2021 de forma coordenada nacionalmente; as redes de atendimento a partir de 2017 coincidem com programas federais que condicionavam repasse de recursos à adesão municipal; a segunda geração de conselhos foi impulsionada pela LOA</w:t>
      </w:r>
      <w:r w:rsidR="00F92B1B">
        <w:t>S (Lei Orgânica da Assistência Social)</w:t>
      </w:r>
      <w:r w:rsidR="00432DD1" w:rsidRPr="00290078">
        <w:t xml:space="preserve"> e pelo SUAS</w:t>
      </w:r>
      <w:r w:rsidR="00F92B1B">
        <w:t xml:space="preserve"> (Sistema Único de Assistência Social)</w:t>
      </w:r>
      <w:r w:rsidR="00432DD1" w:rsidRPr="00290078">
        <w:t xml:space="preserve">. </w:t>
      </w:r>
    </w:p>
    <w:p w14:paraId="00B41BEF" w14:textId="4A6D88A0" w:rsidR="00432DD1" w:rsidRPr="00290078" w:rsidRDefault="00432DD1" w:rsidP="00432DD1">
      <w:r w:rsidRPr="00290078">
        <w:t>Além disso, fatores estruturais porte econômico e capacidade administrativa explicam por que Campo Grande conseguiu um plano participativo robusto e Dourados não. Portanto, a hipótese deve ser qualificada: fatores institucionais (indutores federais) definem o piso comum; fatores políticos explicam os tetos diferenciados. No período analisado (2020-2023), todos os quatro municípios estavam sob gestões de centro-direita ou direita (PSD, PP, PSDB, DEM/União), o que limitou a variação da variável partidária. A comparação com períodos anteriores (Dourados com prefeito do PT) sugere que gestores de esquerda podem acelerar a criação de órgãos executivos e a adoção de princípios interseccionais, mas não alteram substancialmente o desenho institucional de fundo, que é fortemente induzido pelo governo federal.</w:t>
      </w:r>
    </w:p>
    <w:p w14:paraId="18A05CE5" w14:textId="77777777" w:rsidR="00432DD1" w:rsidRDefault="00432DD1" w:rsidP="00432DD1">
      <w:r w:rsidRPr="00290078">
        <w:t xml:space="preserve">Por fim, persistem lacunas graves: ausência de avaliação sistemática dos planos e redes; baixa transversalidade (a maioria das iniciativas ainda está concentrada em segurança pública </w:t>
      </w:r>
      <w:r w:rsidRPr="00290078">
        <w:lastRenderedPageBreak/>
        <w:t>e assistência social); interseccionalidade insuficiente (políticas raramente consideram recortes de raça, etnia ou deficiência); e fragilidade do financiamento (fundos criados mas não necessariamente capitalizados). Essas lacunas apontam para a necessidade de fortalecer a etapa de avaliação, avançar na interoperabilidade entre sistemas municipais, estaduais e federais, e incorporar efetivamente as dimensões de raça, território e classe nas políticas, para que a trajetória de institucionalização se traduza em justiça social e desenvolvimento com equidade de gênero.</w:t>
      </w:r>
    </w:p>
    <w:p w14:paraId="4F103607" w14:textId="77777777" w:rsidR="00FB72C3" w:rsidRPr="00FB72C3" w:rsidRDefault="00FB72C3" w:rsidP="00FB72C3">
      <w:r w:rsidRPr="00FB72C3">
        <w:t xml:space="preserve">Apesar dos avanços institucionais registrados nas últimas três décadas, a pesquisa identificou lacunas graves que comprometem a efetividade e a sustentabilidade das políticas para mulheres nos quatro municípios. Em primeiro lugar, a ausência de avaliação sistemática dos planos, das redes e dos fundos é praticamente generalizada. O primeiro plano de Campo Grande (2006) não foi avaliado; o segundo (2022-2026) também não apresenta indicadores de monitoramento ou cronograma de avaliação. Nenhum dos municípios produziu relatórios públicos periódicos de avaliação das redes de atendimento ou dos fundos específicos. Essa lacuna, já apontada por </w:t>
      </w:r>
      <w:proofErr w:type="spellStart"/>
      <w:r w:rsidRPr="00FB72C3">
        <w:t>Agum</w:t>
      </w:r>
      <w:proofErr w:type="spellEnd"/>
      <w:r w:rsidRPr="00FB72C3">
        <w:t>, Riscado e Menezes (2015) como uma fragilidade recorrente no ciclo das políticas públicas brasileiras, impede o aprendizado institucional, a correção de rotas e a alocação eficiente de recursos escassos.</w:t>
      </w:r>
    </w:p>
    <w:p w14:paraId="3BF578D8" w14:textId="77777777" w:rsidR="00FB72C3" w:rsidRPr="00FB72C3" w:rsidRDefault="00FB72C3" w:rsidP="00FB72C3">
      <w:r w:rsidRPr="00FB72C3">
        <w:t>Em segundo lugar, a baixa transversalidade das políticas de gênero. Embora os planos municipais e as leis de criação dos conselhos mencionem a necessidade de incorporar a perspectiva de gênero em todas as políticas setoriais — educação, habitação, transporte, infraestrutura, cultura —, a análise dos 185 registros oficiais mostra que a maioria das iniciativas ainda está concentrada em segurança pública (18,92%) e assistência social (6,49%), com a saúde aparecendo em terceiro (14,05%). Políticas de autonomia econômica, participação política e educação para a igualdade de gênero aparecem de forma marginal, o que indica que a transversalidade permanece mais como princípio discursivo do que como prática efetiva.</w:t>
      </w:r>
    </w:p>
    <w:p w14:paraId="5329C930" w14:textId="77777777" w:rsidR="00FB72C3" w:rsidRPr="00FB72C3" w:rsidRDefault="00FB72C3" w:rsidP="00FB72C3">
      <w:r w:rsidRPr="00FB72C3">
        <w:t>Em terceiro lugar, a interseccionalidade insuficiente. As políticas raramente consideram recortes de raça, etnia, classe social, território (periferia vs. centro), orientação sexual ou deficiência. O plano de Campo Grande de 2006 mencionava a interseccionalidade como pressuposto teórico, mas não a traduziu em ações específicas para mulheres negras, indígenas, quilombolas, ribeirinhas, com deficiência ou LGBTQIA+. O plano de 2022 também não avançou significativamente nesse aspecto. Mota (2023) alerta que a ausência de interseccionalidade tende a beneficiar mulheres brancas, de classe média e moradoras de áreas centrais, deixando à margem as mulheres mais vulneráveis — exatamente aquelas que mais necessitam das políticas públicas.</w:t>
      </w:r>
    </w:p>
    <w:p w14:paraId="051824A9" w14:textId="77777777" w:rsidR="00FB72C3" w:rsidRPr="00FB72C3" w:rsidRDefault="00FB72C3" w:rsidP="00FB72C3">
      <w:r w:rsidRPr="00FB72C3">
        <w:lastRenderedPageBreak/>
        <w:t>Em quarto lugar, a fragilidade do financiamento. Embora três dos quatro municípios tenham criado fundos municipais específicos para políticas para mulheres (Três Lagoas em 2009, Campo Grande em 2018, Corumbá em 2024), não há evidência nos documentos analisados de que esses fundos sejam efetivamente capitalizados com dotações orçamentárias regulares. A criação de um fundo sem dotação é uma política simbólica, não estruturante. Pesquisas futuras deverão analisar as leis orçamentárias anuais (LOAs) e os planos plurianuais (</w:t>
      </w:r>
      <w:proofErr w:type="spellStart"/>
      <w:r w:rsidRPr="00FB72C3">
        <w:t>PPAs</w:t>
      </w:r>
      <w:proofErr w:type="spellEnd"/>
      <w:r w:rsidRPr="00FB72C3">
        <w:t>) para verificar a execução financeira desses fundos e identificar eventuais descontinuidades orçamentárias que comprometam a sustentabilidade das políticas.</w:t>
      </w:r>
    </w:p>
    <w:p w14:paraId="56D9B9DD" w14:textId="77777777" w:rsidR="00FB72C3" w:rsidRPr="00FB72C3" w:rsidRDefault="00FB72C3" w:rsidP="00FB72C3">
      <w:r w:rsidRPr="00FB72C3">
        <w:t xml:space="preserve">À luz dessas lacunas, impõem-se algumas recomendações. Para a gestão pública municipal, recomenda-se: (i) instituir mecanismos obrigatórios de avaliação </w:t>
      </w:r>
      <w:proofErr w:type="spellStart"/>
      <w:r w:rsidRPr="00FB72C3">
        <w:t>ex</w:t>
      </w:r>
      <w:proofErr w:type="spellEnd"/>
      <w:r w:rsidRPr="00FB72C3">
        <w:t xml:space="preserve"> post dos planos e redes, com indicadores claros, periodicidade definida (a cada dois anos, por exemplo) e divulgação pública dos resultados; (</w:t>
      </w:r>
      <w:proofErr w:type="spellStart"/>
      <w:r w:rsidRPr="00FB72C3">
        <w:t>ii</w:t>
      </w:r>
      <w:proofErr w:type="spellEnd"/>
      <w:r w:rsidRPr="00FB72C3">
        <w:t>) avançar na interoperabilidade entre os sistemas de informação municipais, estaduais e federais (saúde, assistência social, segurança pública, educação), conforme sugerido por Tavares e Bitencourt (2022), de modo a permitir monitoramento em tempo real e avaliação baseada em evidências; (</w:t>
      </w:r>
      <w:proofErr w:type="spellStart"/>
      <w:r w:rsidRPr="00FB72C3">
        <w:t>iii</w:t>
      </w:r>
      <w:proofErr w:type="spellEnd"/>
      <w:r w:rsidRPr="00FB72C3">
        <w:t>) incorporar efetivamente a interseccionalidade, com recortes explícitos de raça, etnia, território, deficiência e orientação sexual na formulação e no monitoramento das políticas; (</w:t>
      </w:r>
      <w:proofErr w:type="spellStart"/>
      <w:r w:rsidRPr="00FB72C3">
        <w:t>iv</w:t>
      </w:r>
      <w:proofErr w:type="spellEnd"/>
      <w:r w:rsidRPr="00FB72C3">
        <w:t>) garantir a capitalização regular dos fundos municipais, com dotação orçamentária mínima anual definida em lei.</w:t>
      </w:r>
    </w:p>
    <w:p w14:paraId="79BC3FB4" w14:textId="77777777" w:rsidR="00FB72C3" w:rsidRPr="00FB72C3" w:rsidRDefault="00FB72C3" w:rsidP="00FB72C3">
      <w:r w:rsidRPr="00FB72C3">
        <w:t>Para a agenda de pesquisa, recomenda-se: (i) ampliar o período de análise para incluir gestões de diferentes espectros partidários (incluindo prefeitos de esquerda no período anterior a 2020 e eventualmente após 2024), de modo a testar com maior robustez a influência da variável partidária; (</w:t>
      </w:r>
      <w:proofErr w:type="spellStart"/>
      <w:r w:rsidRPr="00FB72C3">
        <w:t>ii</w:t>
      </w:r>
      <w:proofErr w:type="spellEnd"/>
      <w:r w:rsidRPr="00FB72C3">
        <w:t>) incluir municípios de menor porte populacional para verificar se o padrão identificado nos quatro maiores se reproduz ou se há especificidades locais; (</w:t>
      </w:r>
      <w:proofErr w:type="spellStart"/>
      <w:r w:rsidRPr="00FB72C3">
        <w:t>iii</w:t>
      </w:r>
      <w:proofErr w:type="spellEnd"/>
      <w:r w:rsidRPr="00FB72C3">
        <w:t>) realizar análise de conteúdo das leis orçamentárias para mensurar a execução financeira dos fundos; (</w:t>
      </w:r>
      <w:proofErr w:type="spellStart"/>
      <w:r w:rsidRPr="00FB72C3">
        <w:t>iv</w:t>
      </w:r>
      <w:proofErr w:type="spellEnd"/>
      <w:r w:rsidRPr="00FB72C3">
        <w:t>) conduzir entrevistas com gestores, conselheiras e ativistas para captar percepções subjetivas sobre os obstáculos à avaliação e à transversalidade.</w:t>
      </w:r>
    </w:p>
    <w:p w14:paraId="2996E2C7" w14:textId="77777777" w:rsidR="00F82FF5" w:rsidRDefault="00F82FF5">
      <w:pPr>
        <w:rPr>
          <w:b/>
          <w:bCs/>
        </w:rPr>
      </w:pPr>
    </w:p>
    <w:p w14:paraId="088FCA71" w14:textId="77777777" w:rsidR="00F82FF5" w:rsidRDefault="00F82FF5"/>
    <w:p w14:paraId="0F5616CE" w14:textId="77777777" w:rsidR="00F82FF5" w:rsidRDefault="00205F0E">
      <w:pPr>
        <w:pStyle w:val="Ttulo1"/>
        <w:jc w:val="left"/>
      </w:pPr>
      <w:commentRangeStart w:id="6"/>
      <w:r>
        <w:t>REFERÊNCIAS</w:t>
      </w:r>
      <w:commentRangeEnd w:id="6"/>
      <w:r w:rsidR="00E23142">
        <w:rPr>
          <w:rStyle w:val="Refdecomentrio"/>
          <w:b w:val="0"/>
        </w:rPr>
        <w:commentReference w:id="6"/>
      </w:r>
    </w:p>
    <w:p w14:paraId="74B5852C" w14:textId="77777777" w:rsidR="00F82FF5" w:rsidRDefault="00F82FF5">
      <w:pPr>
        <w:rPr>
          <w:rFonts w:cs="Times New Roman"/>
          <w:szCs w:val="24"/>
        </w:rPr>
      </w:pPr>
    </w:p>
    <w:p w14:paraId="75E0D037" w14:textId="77777777" w:rsidR="00EB57A5" w:rsidRPr="00EB57A5" w:rsidRDefault="00EB57A5" w:rsidP="00EB57A5">
      <w:pPr>
        <w:pStyle w:val="Bibliografia1"/>
        <w:spacing w:line="360" w:lineRule="auto"/>
        <w:rPr>
          <w:rFonts w:eastAsia="Times New Roman" w:cs="Times New Roman"/>
          <w:color w:val="000000" w:themeColor="dark1"/>
          <w:szCs w:val="24"/>
        </w:rPr>
      </w:pPr>
      <w:r w:rsidRPr="00EB57A5">
        <w:rPr>
          <w:rFonts w:eastAsia="Times New Roman" w:cs="Times New Roman"/>
          <w:color w:val="000000" w:themeColor="dark1"/>
          <w:szCs w:val="24"/>
        </w:rPr>
        <w:t>AGUM, R.; RISCADO, P.; MENEZES, M. Políticas públicas: conceitos e análise em revisão. </w:t>
      </w:r>
      <w:r w:rsidRPr="00EB57A5">
        <w:rPr>
          <w:rFonts w:eastAsia="Times New Roman" w:cs="Times New Roman"/>
          <w:b/>
          <w:bCs/>
          <w:color w:val="000000" w:themeColor="dark1"/>
          <w:szCs w:val="24"/>
        </w:rPr>
        <w:t>Revista Agenda Política</w:t>
      </w:r>
      <w:r w:rsidRPr="00EB57A5">
        <w:rPr>
          <w:rFonts w:eastAsia="Times New Roman" w:cs="Times New Roman"/>
          <w:color w:val="000000" w:themeColor="dark1"/>
          <w:szCs w:val="24"/>
        </w:rPr>
        <w:t>, São Carlos-SP, v. 3, n. 2, p. 12–42, 2015.</w:t>
      </w:r>
    </w:p>
    <w:p w14:paraId="4CA0B575" w14:textId="6145E7D8" w:rsidR="00EB57A5" w:rsidRDefault="00EB57A5" w:rsidP="00EB57A5">
      <w:pPr>
        <w:pStyle w:val="Bibliografia1"/>
        <w:spacing w:line="360" w:lineRule="auto"/>
        <w:rPr>
          <w:rFonts w:eastAsia="Times New Roman" w:cs="Times New Roman"/>
          <w:color w:val="000000" w:themeColor="dark1"/>
          <w:szCs w:val="24"/>
        </w:rPr>
      </w:pPr>
      <w:r w:rsidRPr="00EB57A5">
        <w:rPr>
          <w:rFonts w:eastAsia="Times New Roman" w:cs="Times New Roman"/>
          <w:color w:val="000000" w:themeColor="dark1"/>
          <w:szCs w:val="24"/>
        </w:rPr>
        <w:lastRenderedPageBreak/>
        <w:t>ARRETCHE, M. T. S. Políticas sociais no Brasil: descentralização em um Estado federativo. </w:t>
      </w:r>
      <w:r w:rsidRPr="00EB57A5">
        <w:rPr>
          <w:rFonts w:eastAsia="Times New Roman" w:cs="Times New Roman"/>
          <w:b/>
          <w:bCs/>
          <w:color w:val="000000" w:themeColor="dark1"/>
          <w:szCs w:val="24"/>
        </w:rPr>
        <w:t>Revista Brasileira de Ciências Sociais</w:t>
      </w:r>
      <w:r w:rsidRPr="00EB57A5">
        <w:rPr>
          <w:rFonts w:eastAsia="Times New Roman" w:cs="Times New Roman"/>
          <w:color w:val="000000" w:themeColor="dark1"/>
          <w:szCs w:val="24"/>
        </w:rPr>
        <w:t>, v. 14, n. 40, p. 111–141, 1999. Disponível em: </w:t>
      </w:r>
      <w:hyperlink r:id="rId15" w:tgtFrame="_blank" w:history="1">
        <w:r w:rsidRPr="00EB57A5">
          <w:rPr>
            <w:rStyle w:val="Hyperlink"/>
            <w:rFonts w:eastAsia="Times New Roman" w:cs="Times New Roman"/>
            <w:szCs w:val="24"/>
          </w:rPr>
          <w:t>https://doi.org/10.1590/S0102-69091999000200009</w:t>
        </w:r>
      </w:hyperlink>
    </w:p>
    <w:p w14:paraId="51DC22A2" w14:textId="77777777" w:rsidR="00EB57A5" w:rsidRPr="00EB57A5" w:rsidRDefault="00EB57A5" w:rsidP="00EB57A5">
      <w:pPr>
        <w:pStyle w:val="Bibliografia1"/>
        <w:spacing w:line="360" w:lineRule="auto"/>
        <w:rPr>
          <w:rFonts w:eastAsia="Times New Roman" w:cs="Times New Roman"/>
          <w:color w:val="000000" w:themeColor="dark1"/>
          <w:szCs w:val="24"/>
        </w:rPr>
      </w:pPr>
    </w:p>
    <w:p w14:paraId="4C5E1D80" w14:textId="3F5AAE09" w:rsidR="00EB57A5" w:rsidRDefault="00EB57A5" w:rsidP="00EB57A5">
      <w:pPr>
        <w:pStyle w:val="Bibliografia1"/>
        <w:spacing w:line="360" w:lineRule="auto"/>
        <w:rPr>
          <w:rFonts w:eastAsia="Times New Roman" w:cs="Times New Roman"/>
          <w:color w:val="000000" w:themeColor="dark1"/>
          <w:szCs w:val="24"/>
        </w:rPr>
      </w:pPr>
      <w:r w:rsidRPr="00EB57A5">
        <w:rPr>
          <w:rFonts w:eastAsia="Times New Roman" w:cs="Times New Roman"/>
          <w:color w:val="000000" w:themeColor="dark1"/>
          <w:szCs w:val="24"/>
        </w:rPr>
        <w:t>FÓRUM BRASILEIRO DE SEGURANÇA PÚBLICA. </w:t>
      </w:r>
      <w:r w:rsidRPr="00EB57A5">
        <w:rPr>
          <w:rFonts w:eastAsia="Times New Roman" w:cs="Times New Roman"/>
          <w:b/>
          <w:bCs/>
          <w:color w:val="000000" w:themeColor="dark1"/>
          <w:szCs w:val="24"/>
        </w:rPr>
        <w:t>Retratos do feminicídio no Brasil, 2006-2026</w:t>
      </w:r>
      <w:r w:rsidRPr="00EB57A5">
        <w:rPr>
          <w:rFonts w:eastAsia="Times New Roman" w:cs="Times New Roman"/>
          <w:color w:val="000000" w:themeColor="dark1"/>
          <w:szCs w:val="24"/>
        </w:rPr>
        <w:t>. Disponível em: </w:t>
      </w:r>
      <w:hyperlink r:id="rId16" w:tgtFrame="_blank" w:history="1">
        <w:r w:rsidRPr="00EB57A5">
          <w:rPr>
            <w:rStyle w:val="Hyperlink"/>
            <w:rFonts w:eastAsia="Times New Roman" w:cs="Times New Roman"/>
            <w:szCs w:val="24"/>
          </w:rPr>
          <w:t>https://forumseguranca.org.br/wp-content/uploads/2026/03/nota-tecnica-dia-mulher-2026.pdf</w:t>
        </w:r>
      </w:hyperlink>
      <w:r w:rsidRPr="00EB57A5">
        <w:rPr>
          <w:rFonts w:eastAsia="Times New Roman" w:cs="Times New Roman"/>
          <w:color w:val="000000" w:themeColor="dark1"/>
          <w:szCs w:val="24"/>
        </w:rPr>
        <w:t> . Acesso em 16 abr. 2026.</w:t>
      </w:r>
    </w:p>
    <w:p w14:paraId="14D36BE2" w14:textId="77777777" w:rsidR="00682A0E" w:rsidRDefault="00682A0E" w:rsidP="00EB57A5">
      <w:pPr>
        <w:pStyle w:val="Bibliografia1"/>
        <w:spacing w:line="360" w:lineRule="auto"/>
        <w:rPr>
          <w:rFonts w:eastAsia="Times New Roman" w:cs="Times New Roman"/>
          <w:color w:val="000000" w:themeColor="dark1"/>
          <w:szCs w:val="24"/>
        </w:rPr>
      </w:pPr>
    </w:p>
    <w:p w14:paraId="2434DFE3" w14:textId="0ECB910F" w:rsidR="00EB57A5" w:rsidRDefault="00682A0E" w:rsidP="00EB57A5">
      <w:pPr>
        <w:pStyle w:val="Bibliografia1"/>
        <w:spacing w:line="360" w:lineRule="auto"/>
        <w:rPr>
          <w:rFonts w:eastAsia="Times New Roman" w:cs="Times New Roman"/>
          <w:color w:val="000000" w:themeColor="dark1"/>
          <w:szCs w:val="24"/>
        </w:rPr>
      </w:pPr>
      <w:r w:rsidRPr="00682A0E">
        <w:rPr>
          <w:rFonts w:eastAsia="Times New Roman" w:cs="Times New Roman"/>
          <w:color w:val="000000" w:themeColor="dark1"/>
          <w:szCs w:val="24"/>
        </w:rPr>
        <w:t xml:space="preserve">JONAS, </w:t>
      </w:r>
      <w:proofErr w:type="spellStart"/>
      <w:r w:rsidRPr="00682A0E">
        <w:rPr>
          <w:rFonts w:eastAsia="Times New Roman" w:cs="Times New Roman"/>
          <w:color w:val="000000" w:themeColor="dark1"/>
          <w:szCs w:val="24"/>
        </w:rPr>
        <w:t>Eline</w:t>
      </w:r>
      <w:proofErr w:type="spellEnd"/>
      <w:r w:rsidRPr="00682A0E">
        <w:rPr>
          <w:rFonts w:eastAsia="Times New Roman" w:cs="Times New Roman"/>
          <w:color w:val="000000" w:themeColor="dark1"/>
          <w:szCs w:val="24"/>
        </w:rPr>
        <w:t>. Políticas Públicas para as Mulheres no Brasil – Avanços, retrocessos e resgates. </w:t>
      </w:r>
      <w:r w:rsidRPr="00682A0E">
        <w:rPr>
          <w:rFonts w:eastAsia="Times New Roman" w:cs="Times New Roman"/>
          <w:b/>
          <w:bCs/>
          <w:color w:val="000000" w:themeColor="dark1"/>
          <w:szCs w:val="24"/>
        </w:rPr>
        <w:t>Revista Mátria</w:t>
      </w:r>
      <w:r w:rsidRPr="00682A0E">
        <w:rPr>
          <w:rFonts w:eastAsia="Times New Roman" w:cs="Times New Roman"/>
          <w:color w:val="000000" w:themeColor="dark1"/>
          <w:szCs w:val="24"/>
        </w:rPr>
        <w:t>, 11 mar. 2025. Disponível em: </w:t>
      </w:r>
      <w:hyperlink r:id="rId17" w:tgtFrame="_blank" w:history="1">
        <w:r w:rsidRPr="00682A0E">
          <w:rPr>
            <w:rStyle w:val="Hyperlink"/>
            <w:rFonts w:eastAsia="Times New Roman" w:cs="Times New Roman"/>
            <w:szCs w:val="24"/>
          </w:rPr>
          <w:t>https://cnte.org.br/noticias/politicas-publicas-para-as-mulheres-no-brasil-avancos-retrocessos-e-resgates-1092</w:t>
        </w:r>
      </w:hyperlink>
      <w:r w:rsidRPr="00682A0E">
        <w:rPr>
          <w:rFonts w:eastAsia="Times New Roman" w:cs="Times New Roman"/>
          <w:color w:val="000000" w:themeColor="dark1"/>
          <w:szCs w:val="24"/>
        </w:rPr>
        <w:t>. Acesso em: 21 abr. 2026.</w:t>
      </w:r>
    </w:p>
    <w:p w14:paraId="3288A625" w14:textId="77777777" w:rsidR="00682A0E" w:rsidRPr="00EB57A5" w:rsidRDefault="00682A0E" w:rsidP="00EB57A5">
      <w:pPr>
        <w:pStyle w:val="Bibliografia1"/>
        <w:spacing w:line="360" w:lineRule="auto"/>
        <w:rPr>
          <w:rFonts w:eastAsia="Times New Roman" w:cs="Times New Roman"/>
          <w:color w:val="000000" w:themeColor="dark1"/>
          <w:szCs w:val="24"/>
        </w:rPr>
      </w:pPr>
    </w:p>
    <w:p w14:paraId="519E82BA" w14:textId="1B7DD252" w:rsidR="00EB57A5" w:rsidRDefault="00EB57A5" w:rsidP="00EB57A5">
      <w:pPr>
        <w:pStyle w:val="Bibliografia1"/>
        <w:spacing w:line="360" w:lineRule="auto"/>
        <w:rPr>
          <w:rFonts w:eastAsia="Times New Roman" w:cs="Times New Roman"/>
          <w:color w:val="000000" w:themeColor="dark1"/>
          <w:szCs w:val="24"/>
        </w:rPr>
      </w:pPr>
      <w:r w:rsidRPr="00EB57A5">
        <w:rPr>
          <w:rFonts w:eastAsia="Times New Roman" w:cs="Times New Roman"/>
          <w:color w:val="000000" w:themeColor="dark1"/>
          <w:szCs w:val="24"/>
        </w:rPr>
        <w:t>MOTA, H. M. C. da. Aspectos gerais sobre políticas públicas de gênero: Objetivos e desafios. </w:t>
      </w:r>
      <w:r w:rsidRPr="00EB57A5">
        <w:rPr>
          <w:rFonts w:eastAsia="Times New Roman" w:cs="Times New Roman"/>
          <w:b/>
          <w:bCs/>
          <w:color w:val="000000" w:themeColor="dark1"/>
          <w:szCs w:val="24"/>
        </w:rPr>
        <w:t>Revista do Ministério Público Militar</w:t>
      </w:r>
      <w:r w:rsidRPr="00EB57A5">
        <w:rPr>
          <w:rFonts w:eastAsia="Times New Roman" w:cs="Times New Roman"/>
          <w:color w:val="000000" w:themeColor="dark1"/>
          <w:szCs w:val="24"/>
        </w:rPr>
        <w:t>, v. 49, n. 36, p. 359–369, 2023.</w:t>
      </w:r>
    </w:p>
    <w:p w14:paraId="44FA58DF" w14:textId="77777777" w:rsidR="00EB57A5" w:rsidRPr="00EB57A5" w:rsidRDefault="00EB57A5" w:rsidP="00EB57A5">
      <w:pPr>
        <w:pStyle w:val="Bibliografia1"/>
        <w:spacing w:line="360" w:lineRule="auto"/>
        <w:rPr>
          <w:rFonts w:eastAsia="Times New Roman" w:cs="Times New Roman"/>
          <w:color w:val="000000" w:themeColor="dark1"/>
          <w:szCs w:val="24"/>
        </w:rPr>
      </w:pPr>
    </w:p>
    <w:p w14:paraId="4966C03C" w14:textId="0E1220A6" w:rsidR="00F82FF5" w:rsidRPr="00EB57A5" w:rsidRDefault="00EB57A5" w:rsidP="00EB57A5">
      <w:pPr>
        <w:pStyle w:val="Bibliografia1"/>
        <w:spacing w:line="360" w:lineRule="auto"/>
        <w:rPr>
          <w:rFonts w:eastAsia="Times New Roman" w:cs="Times New Roman"/>
          <w:color w:val="000000" w:themeColor="dark1"/>
          <w:szCs w:val="24"/>
        </w:rPr>
      </w:pPr>
      <w:r w:rsidRPr="00EB57A5">
        <w:rPr>
          <w:rFonts w:eastAsia="Times New Roman" w:cs="Times New Roman"/>
          <w:color w:val="000000" w:themeColor="dark1"/>
          <w:szCs w:val="24"/>
        </w:rPr>
        <w:t>TAVARES, A. A.; BITENCOURT, C. M. Avaliação de políticas públicas e interoperabilidade na perspectiva da governança pública digital. </w:t>
      </w:r>
      <w:r w:rsidRPr="00EB57A5">
        <w:rPr>
          <w:rFonts w:eastAsia="Times New Roman" w:cs="Times New Roman"/>
          <w:b/>
          <w:bCs/>
          <w:color w:val="000000" w:themeColor="dark1"/>
          <w:szCs w:val="24"/>
        </w:rPr>
        <w:t>Revista de Direito Econômico e Socioambiental</w:t>
      </w:r>
      <w:r w:rsidRPr="00EB57A5">
        <w:rPr>
          <w:rFonts w:eastAsia="Times New Roman" w:cs="Times New Roman"/>
          <w:color w:val="000000" w:themeColor="dark1"/>
          <w:szCs w:val="24"/>
        </w:rPr>
        <w:t>, Curitiba, v. 13, n. 3, p. 687–723, 2022.</w:t>
      </w:r>
    </w:p>
    <w:sectPr w:rsidR="00F82FF5" w:rsidRPr="00EB57A5" w:rsidSect="001A2C78">
      <w:headerReference w:type="even" r:id="rId18"/>
      <w:headerReference w:type="default" r:id="rId19"/>
      <w:headerReference w:type="first" r:id="rId20"/>
      <w:pgSz w:w="11906" w:h="16838" w:code="9"/>
      <w:pgMar w:top="1701" w:right="1134" w:bottom="1134" w:left="1701" w:header="1701" w:footer="0" w:gutter="0"/>
      <w:pgNumType w:start="1"/>
      <w:cols w:space="720"/>
      <w:formProt w:val="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aniel Estevão" w:date="2026-04-16T15:27:00Z" w:initials="DE">
    <w:p w14:paraId="74543696" w14:textId="198C479B" w:rsidR="00B24604" w:rsidRDefault="00B24604">
      <w:pPr>
        <w:pStyle w:val="Textodecomentrio"/>
      </w:pPr>
      <w:r>
        <w:rPr>
          <w:rStyle w:val="Refdecomentrio"/>
        </w:rPr>
        <w:annotationRef/>
      </w:r>
      <w:r>
        <w:t>Gostei do título.</w:t>
      </w:r>
    </w:p>
  </w:comment>
  <w:comment w:id="1" w:author="Daniel Estevão" w:date="2026-04-16T15:25:00Z" w:initials="DE">
    <w:p w14:paraId="3B59C96C" w14:textId="00C3CE61" w:rsidR="00B24604" w:rsidRDefault="00B24604">
      <w:pPr>
        <w:pStyle w:val="Textodecomentrio"/>
      </w:pPr>
      <w:r>
        <w:rPr>
          <w:rStyle w:val="Refdecomentrio"/>
        </w:rPr>
        <w:annotationRef/>
      </w:r>
      <w:r>
        <w:t>Nota de rodapé: FAPEC??</w:t>
      </w:r>
    </w:p>
  </w:comment>
  <w:comment w:id="2" w:author="VÍTOR DOS SANTOS RODRIGUES" w:date="2026-04-18T10:17:00Z" w:initials="VDSR">
    <w:p w14:paraId="7ACBEF94" w14:textId="77777777" w:rsidR="00A47FF5" w:rsidRDefault="00A47FF5">
      <w:pPr>
        <w:pStyle w:val="Textodecomentrio"/>
      </w:pPr>
      <w:r>
        <w:rPr>
          <w:rStyle w:val="Refdecomentrio"/>
        </w:rPr>
        <w:annotationRef/>
      </w:r>
      <w:r>
        <w:t>Nossa financiadora?</w:t>
      </w:r>
    </w:p>
    <w:p w14:paraId="0F2FC79C" w14:textId="58A987CF" w:rsidR="00A47FF5" w:rsidRDefault="00A47FF5">
      <w:pPr>
        <w:pStyle w:val="Textodecomentrio"/>
      </w:pPr>
    </w:p>
  </w:comment>
  <w:comment w:id="3" w:author="VÍTOR DOS SANTOS RODRIGUES" w:date="2026-04-18T10:18:00Z" w:initials="VDSR">
    <w:p w14:paraId="7CB309BB" w14:textId="7B894CA2" w:rsidR="00A47FF5" w:rsidRDefault="00A47FF5" w:rsidP="00A47FF5">
      <w:pPr>
        <w:pStyle w:val="Textodecomentrio"/>
        <w:ind w:firstLine="0"/>
      </w:pPr>
      <w:r>
        <w:rPr>
          <w:rStyle w:val="Refdecomentrio"/>
        </w:rPr>
        <w:annotationRef/>
      </w:r>
    </w:p>
  </w:comment>
  <w:comment w:id="4" w:author="VÍTOR DOS SANTOS RODRIGUES" w:date="2026-04-18T10:18:00Z" w:initials="VDSR">
    <w:p w14:paraId="367111DE" w14:textId="2AC73563" w:rsidR="00A47FF5" w:rsidRDefault="00A47FF5" w:rsidP="00A47FF5">
      <w:pPr>
        <w:pStyle w:val="Textodecomentrio"/>
        <w:ind w:firstLine="0"/>
      </w:pPr>
      <w:r>
        <w:rPr>
          <w:rStyle w:val="Refdecomentrio"/>
        </w:rPr>
        <w:annotationRef/>
      </w:r>
    </w:p>
  </w:comment>
  <w:comment w:id="5" w:author="VÍTOR DOS SANTOS RODRIGUES" w:date="2026-04-18T11:27:00Z" w:initials="VDSR">
    <w:p w14:paraId="5A8A837E" w14:textId="4288FB56" w:rsidR="00F92B1B" w:rsidRDefault="00F92B1B">
      <w:pPr>
        <w:pStyle w:val="Textodecomentrio"/>
      </w:pPr>
      <w:r>
        <w:rPr>
          <w:rStyle w:val="Refdecomentrio"/>
        </w:rPr>
        <w:annotationRef/>
      </w:r>
      <w:r>
        <w:t xml:space="preserve">O que seria CODAM, seria bom colocar a </w:t>
      </w:r>
      <w:proofErr w:type="spellStart"/>
      <w:r>
        <w:t>escplicação</w:t>
      </w:r>
      <w:proofErr w:type="spellEnd"/>
      <w:r>
        <w:t xml:space="preserve"> da sigla</w:t>
      </w:r>
    </w:p>
    <w:p w14:paraId="1DF38AF0" w14:textId="4CB1C2C9" w:rsidR="00F92B1B" w:rsidRDefault="00F92B1B" w:rsidP="00F92B1B">
      <w:pPr>
        <w:pStyle w:val="Textodecomentrio"/>
        <w:ind w:firstLine="0"/>
      </w:pPr>
    </w:p>
  </w:comment>
  <w:comment w:id="6" w:author="Daniel Estevão" w:date="2026-04-16T17:18:00Z" w:initials="DE">
    <w:p w14:paraId="7FCD2092" w14:textId="1D32ACE2" w:rsidR="00E23142" w:rsidRDefault="00E23142">
      <w:pPr>
        <w:pStyle w:val="Textodecomentrio"/>
      </w:pPr>
      <w:r>
        <w:rPr>
          <w:rStyle w:val="Refdecomentrio"/>
        </w:rPr>
        <w:annotationRef/>
      </w:r>
      <w:r>
        <w:t>Revisar as referências, pois há autores que você incluiu, mas não se encontram aqui na relação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4543696" w15:done="1"/>
  <w15:commentEx w15:paraId="3B59C96C" w15:done="1"/>
  <w15:commentEx w15:paraId="0F2FC79C" w15:paraIdParent="3B59C96C" w15:done="1"/>
  <w15:commentEx w15:paraId="7CB309BB" w15:paraIdParent="3B59C96C" w15:done="1"/>
  <w15:commentEx w15:paraId="367111DE" w15:paraIdParent="3B59C96C" w15:done="1"/>
  <w15:commentEx w15:paraId="1DF38AF0" w15:done="1"/>
  <w15:commentEx w15:paraId="7FCD209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8B7E5D" w16cex:dateUtc="2026-04-16T19:27:00Z"/>
  <w16cex:commentExtensible w16cex:durableId="2D8B7DF8" w16cex:dateUtc="2026-04-16T19:25:00Z"/>
  <w16cex:commentExtensible w16cex:durableId="2D8DD8AD" w16cex:dateUtc="2026-04-18T14:17:00Z"/>
  <w16cex:commentExtensible w16cex:durableId="2D8DD8D8" w16cex:dateUtc="2026-04-18T14:18:00Z"/>
  <w16cex:commentExtensible w16cex:durableId="2D8DD8DF" w16cex:dateUtc="2026-04-18T14:18:00Z"/>
  <w16cex:commentExtensible w16cex:durableId="2D8DE93D" w16cex:dateUtc="2026-04-18T15:27:00Z"/>
  <w16cex:commentExtensible w16cex:durableId="2D8B9868" w16cex:dateUtc="2026-04-16T2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543696" w16cid:durableId="2D8B7E5D"/>
  <w16cid:commentId w16cid:paraId="3B59C96C" w16cid:durableId="2D8B7DF8"/>
  <w16cid:commentId w16cid:paraId="0F2FC79C" w16cid:durableId="2D8DD8AD"/>
  <w16cid:commentId w16cid:paraId="7CB309BB" w16cid:durableId="2D8DD8D8"/>
  <w16cid:commentId w16cid:paraId="367111DE" w16cid:durableId="2D8DD8DF"/>
  <w16cid:commentId w16cid:paraId="1DF38AF0" w16cid:durableId="2D8DE93D"/>
  <w16cid:commentId w16cid:paraId="7FCD2092" w16cid:durableId="2D8B98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5C180" w14:textId="77777777" w:rsidR="00CA7DF5" w:rsidRDefault="00CA7DF5">
      <w:pPr>
        <w:spacing w:line="240" w:lineRule="auto"/>
      </w:pPr>
      <w:r>
        <w:separator/>
      </w:r>
    </w:p>
  </w:endnote>
  <w:endnote w:type="continuationSeparator" w:id="0">
    <w:p w14:paraId="2F7FA235" w14:textId="77777777" w:rsidR="00CA7DF5" w:rsidRDefault="00CA7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16483" w14:textId="77777777" w:rsidR="00CA7DF5" w:rsidRDefault="00CA7DF5">
      <w:pPr>
        <w:rPr>
          <w:sz w:val="12"/>
        </w:rPr>
      </w:pPr>
      <w:r>
        <w:separator/>
      </w:r>
    </w:p>
  </w:footnote>
  <w:footnote w:type="continuationSeparator" w:id="0">
    <w:p w14:paraId="7662989D" w14:textId="77777777" w:rsidR="00CA7DF5" w:rsidRDefault="00CA7DF5">
      <w:pPr>
        <w:rPr>
          <w:sz w:val="12"/>
        </w:rPr>
      </w:pPr>
      <w:r>
        <w:continuationSeparator/>
      </w:r>
    </w:p>
  </w:footnote>
  <w:footnote w:id="1">
    <w:p w14:paraId="4A0ABC4C" w14:textId="589EE1EF" w:rsidR="00F82FF5" w:rsidRDefault="00205F0E">
      <w:pPr>
        <w:pStyle w:val="Textodenotaderodap"/>
      </w:pPr>
      <w:r>
        <w:rPr>
          <w:rStyle w:val="FootnoteCharacters1"/>
        </w:rPr>
        <w:footnoteRef/>
      </w:r>
      <w:r>
        <w:t xml:space="preserve"> </w:t>
      </w:r>
      <w:r w:rsidR="00532D89">
        <w:t>Graduando</w:t>
      </w:r>
      <w:r>
        <w:t xml:space="preserve">, </w:t>
      </w:r>
      <w:r w:rsidR="00532D89">
        <w:t>FAPEC, santos.viror@ufms.br</w:t>
      </w:r>
      <w:r>
        <w:t>.</w:t>
      </w:r>
    </w:p>
  </w:footnote>
  <w:footnote w:id="2">
    <w:p w14:paraId="18E69896" w14:textId="11FE0E1D" w:rsidR="00F82FF5" w:rsidRDefault="00205F0E">
      <w:pPr>
        <w:spacing w:line="240" w:lineRule="auto"/>
        <w:ind w:firstLine="0"/>
        <w:rPr>
          <w:rFonts w:cs="Times New Roman"/>
          <w:sz w:val="20"/>
          <w:szCs w:val="20"/>
        </w:rPr>
      </w:pPr>
      <w:r>
        <w:rPr>
          <w:rStyle w:val="FootnoteCharacters1"/>
        </w:rPr>
        <w:footnoteRef/>
      </w:r>
      <w:r>
        <w:rPr>
          <w:rFonts w:cs="Times New Roman"/>
          <w:sz w:val="20"/>
          <w:szCs w:val="20"/>
        </w:rPr>
        <w:t xml:space="preserve"> </w:t>
      </w:r>
      <w:r w:rsidR="00532D89">
        <w:rPr>
          <w:rFonts w:cs="Times New Roman"/>
          <w:sz w:val="20"/>
          <w:szCs w:val="20"/>
        </w:rPr>
        <w:t>Doutor</w:t>
      </w:r>
      <w:r>
        <w:rPr>
          <w:rFonts w:cs="Times New Roman"/>
          <w:sz w:val="20"/>
          <w:szCs w:val="20"/>
        </w:rPr>
        <w:t xml:space="preserve">, </w:t>
      </w:r>
      <w:r w:rsidR="00532D89">
        <w:rPr>
          <w:rFonts w:cs="Times New Roman"/>
          <w:sz w:val="20"/>
          <w:szCs w:val="20"/>
        </w:rPr>
        <w:t>Professor</w:t>
      </w:r>
      <w:r>
        <w:rPr>
          <w:rFonts w:cs="Times New Roman"/>
          <w:sz w:val="20"/>
          <w:szCs w:val="20"/>
        </w:rPr>
        <w:t>,</w:t>
      </w:r>
      <w:r w:rsidR="00532D89">
        <w:rPr>
          <w:rFonts w:cs="Times New Roman"/>
          <w:sz w:val="20"/>
          <w:szCs w:val="20"/>
        </w:rPr>
        <w:t xml:space="preserve"> FAPEC, daniel.miranda@ufms.br</w:t>
      </w:r>
      <w:r>
        <w:rPr>
          <w:rFonts w:cs="Times New Roman"/>
          <w:sz w:val="20"/>
          <w:szCs w:val="20"/>
        </w:rPr>
        <w:t>.</w:t>
      </w:r>
    </w:p>
  </w:footnote>
  <w:footnote w:id="3">
    <w:p w14:paraId="55289CE0" w14:textId="1506653B" w:rsidR="00275E0D" w:rsidRDefault="00275E0D">
      <w:pPr>
        <w:pStyle w:val="Textodenotaderodap"/>
      </w:pPr>
      <w:r>
        <w:rPr>
          <w:rStyle w:val="Refdenotaderodap"/>
        </w:rPr>
        <w:footnoteRef/>
      </w:r>
      <w:r>
        <w:t xml:space="preserve"> O SIGO é o </w:t>
      </w:r>
      <w:r w:rsidRPr="00275E0D">
        <w:t>Sistema Integrado de Gestão Operacional</w:t>
      </w:r>
      <w:r>
        <w:t>, que guarda todas as ocorrências registradas nas delegacias da Política Militar de Mato Grosso do Sul. Um de</w:t>
      </w:r>
      <w:r w:rsidR="0071660C">
        <w:t xml:space="preserve"> seus subsistemas é um painel de dados estatísticos sobre boletins de ocorrência. Cf. </w:t>
      </w:r>
      <w:hyperlink r:id="rId1" w:history="1">
        <w:r w:rsidR="0071660C" w:rsidRPr="003C61F4">
          <w:rPr>
            <w:rStyle w:val="Hyperlink"/>
          </w:rPr>
          <w:t>https://estatistica.sigo.ms.gov.br/</w:t>
        </w:r>
      </w:hyperlink>
      <w:r w:rsidR="0071660C">
        <w:t xml:space="preserve"> </w:t>
      </w:r>
    </w:p>
  </w:footnote>
  <w:footnote w:id="4">
    <w:p w14:paraId="7E0870C6" w14:textId="56ACE077" w:rsidR="0092714F" w:rsidRDefault="0092714F">
      <w:pPr>
        <w:pStyle w:val="Textodenotaderodap"/>
      </w:pPr>
      <w:r>
        <w:rPr>
          <w:rStyle w:val="Refdenotaderodap"/>
        </w:rPr>
        <w:footnoteRef/>
      </w:r>
      <w:r>
        <w:t xml:space="preserve"> Dados do Fórum Brasileiro de Segurança Pública (2026).</w:t>
      </w:r>
    </w:p>
  </w:footnote>
  <w:footnote w:id="5">
    <w:p w14:paraId="61BA9CAB" w14:textId="24B7158D" w:rsidR="00AF61D7" w:rsidRDefault="00AF61D7">
      <w:pPr>
        <w:pStyle w:val="Textodenotaderodap"/>
      </w:pPr>
      <w:r>
        <w:rPr>
          <w:rStyle w:val="Refdenotaderodap"/>
        </w:rPr>
        <w:footnoteRef/>
      </w:r>
      <w:r>
        <w:t xml:space="preserve"> Cf. Fórum Brasileiro de Segurança Pública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9B2FA" w14:textId="77777777" w:rsidR="00F82FF5" w:rsidRDefault="00F82FF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93448" w14:textId="77777777" w:rsidR="00F82FF5" w:rsidRDefault="00F82FF5">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06F72" w14:textId="77777777" w:rsidR="00F82FF5" w:rsidRDefault="00F82FF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D6E2E"/>
    <w:multiLevelType w:val="multilevel"/>
    <w:tmpl w:val="7438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C3EFE"/>
    <w:multiLevelType w:val="multilevel"/>
    <w:tmpl w:val="B5A8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10426D"/>
    <w:multiLevelType w:val="multilevel"/>
    <w:tmpl w:val="06D8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Estevão">
    <w15:presenceInfo w15:providerId="Windows Live" w15:userId="73c4fccc81785141"/>
  </w15:person>
  <w15:person w15:author="VÍTOR DOS SANTOS RODRIGUES">
    <w15:presenceInfo w15:providerId="None" w15:userId="VÍTOR DOS SANTOS RODRIGU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FF5"/>
    <w:rsid w:val="0003390D"/>
    <w:rsid w:val="00061888"/>
    <w:rsid w:val="00096A0F"/>
    <w:rsid w:val="001216C7"/>
    <w:rsid w:val="001A2C78"/>
    <w:rsid w:val="001E1B16"/>
    <w:rsid w:val="002019F1"/>
    <w:rsid w:val="00205F0E"/>
    <w:rsid w:val="00275E0D"/>
    <w:rsid w:val="00290078"/>
    <w:rsid w:val="002D1C2F"/>
    <w:rsid w:val="002F3138"/>
    <w:rsid w:val="003D0C47"/>
    <w:rsid w:val="00432DD1"/>
    <w:rsid w:val="0043501F"/>
    <w:rsid w:val="004A046E"/>
    <w:rsid w:val="004A76C6"/>
    <w:rsid w:val="004B047D"/>
    <w:rsid w:val="00532D89"/>
    <w:rsid w:val="005757A7"/>
    <w:rsid w:val="005A25DD"/>
    <w:rsid w:val="00600498"/>
    <w:rsid w:val="006048E1"/>
    <w:rsid w:val="0064673A"/>
    <w:rsid w:val="00654CB0"/>
    <w:rsid w:val="00657AF9"/>
    <w:rsid w:val="0068209E"/>
    <w:rsid w:val="00682A0E"/>
    <w:rsid w:val="007105CD"/>
    <w:rsid w:val="0071660C"/>
    <w:rsid w:val="007223AA"/>
    <w:rsid w:val="007915DC"/>
    <w:rsid w:val="007C6D6C"/>
    <w:rsid w:val="00811DE4"/>
    <w:rsid w:val="00813F53"/>
    <w:rsid w:val="00840C78"/>
    <w:rsid w:val="00853C21"/>
    <w:rsid w:val="00854046"/>
    <w:rsid w:val="0089610B"/>
    <w:rsid w:val="008B426F"/>
    <w:rsid w:val="0092714F"/>
    <w:rsid w:val="00A47FF5"/>
    <w:rsid w:val="00A95024"/>
    <w:rsid w:val="00AF61D7"/>
    <w:rsid w:val="00B24604"/>
    <w:rsid w:val="00BF2167"/>
    <w:rsid w:val="00C33133"/>
    <w:rsid w:val="00C5771A"/>
    <w:rsid w:val="00C637E0"/>
    <w:rsid w:val="00CA7DF5"/>
    <w:rsid w:val="00CC7B80"/>
    <w:rsid w:val="00CD341C"/>
    <w:rsid w:val="00CD4851"/>
    <w:rsid w:val="00D2444A"/>
    <w:rsid w:val="00D45032"/>
    <w:rsid w:val="00D96DF8"/>
    <w:rsid w:val="00E23142"/>
    <w:rsid w:val="00E23F36"/>
    <w:rsid w:val="00EB57A5"/>
    <w:rsid w:val="00F82FF5"/>
    <w:rsid w:val="00F92B1B"/>
    <w:rsid w:val="00FB3111"/>
    <w:rsid w:val="00FB72C3"/>
    <w:rsid w:val="00FF7EF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BB20"/>
  <w15:docId w15:val="{AFAE4F87-6629-44A9-B822-504EA3E7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Cs w:val="22"/>
        <w:lang w:val="pt-BR" w:eastAsia="pt-BR"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Ttulo1">
    <w:name w:val="heading 1"/>
    <w:basedOn w:val="Normal"/>
    <w:next w:val="Normal"/>
    <w:uiPriority w:val="9"/>
    <w:qFormat/>
    <w:pPr>
      <w:keepNext/>
      <w:keepLines/>
      <w:spacing w:line="240" w:lineRule="auto"/>
      <w:ind w:firstLine="0"/>
      <w:outlineLvl w:val="0"/>
    </w:pPr>
    <w:rPr>
      <w:b/>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F459B"/>
  </w:style>
  <w:style w:type="character" w:customStyle="1" w:styleId="RodapChar">
    <w:name w:val="Rodapé Char"/>
    <w:basedOn w:val="Fontepargpadro"/>
    <w:link w:val="Rodap"/>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Refdenotaderodap">
    <w:name w:val="footnote reference"/>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Refdenotadefim">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Ttulo">
    <w:name w:val="Title"/>
    <w:basedOn w:val="Normal"/>
    <w:next w:val="Corpodetexto"/>
    <w:uiPriority w:val="10"/>
    <w:qFormat/>
    <w:pPr>
      <w:keepNext/>
      <w:keepLines/>
      <w:spacing w:line="240" w:lineRule="auto"/>
      <w:jc w:val="center"/>
    </w:pPr>
    <w:rPr>
      <w:b/>
      <w:szCs w:val="52"/>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pPr>
      <w:keepNext/>
      <w:keepLines/>
      <w:spacing w:after="320"/>
    </w:pPr>
    <w:rPr>
      <w:color w:val="666666"/>
      <w:sz w:val="30"/>
      <w:szCs w:val="30"/>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459B"/>
    <w:pPr>
      <w:tabs>
        <w:tab w:val="center" w:pos="4252"/>
        <w:tab w:val="right" w:pos="8504"/>
      </w:tabs>
      <w:spacing w:line="240" w:lineRule="auto"/>
    </w:pPr>
  </w:style>
  <w:style w:type="paragraph" w:styleId="Rodap">
    <w:name w:val="footer"/>
    <w:basedOn w:val="Normal"/>
    <w:link w:val="RodapChar"/>
    <w:uiPriority w:val="99"/>
    <w:unhideWhenUsed/>
    <w:rsid w:val="00EF459B"/>
    <w:pPr>
      <w:tabs>
        <w:tab w:val="center" w:pos="4252"/>
        <w:tab w:val="right" w:pos="8504"/>
      </w:tabs>
      <w:spacing w:line="240" w:lineRule="auto"/>
    </w:pPr>
  </w:style>
  <w:style w:type="paragraph" w:styleId="Textodenotaderodap">
    <w:name w:val="footnote text"/>
    <w:basedOn w:val="Normal"/>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table" w:customStyle="1" w:styleId="TableNormal">
    <w:name w:val="Table Normal"/>
    <w:tblPr>
      <w:tblCellMar>
        <w:top w:w="0" w:type="dxa"/>
        <w:left w:w="0" w:type="dxa"/>
        <w:bottom w:w="0" w:type="dxa"/>
        <w:right w:w="0" w:type="dxa"/>
      </w:tblCellMar>
    </w:tblPr>
  </w:style>
  <w:style w:type="character" w:styleId="Hyperlink">
    <w:name w:val="Hyperlink"/>
    <w:basedOn w:val="Fontepargpadro"/>
    <w:uiPriority w:val="99"/>
    <w:unhideWhenUsed/>
    <w:rsid w:val="005A25DD"/>
    <w:rPr>
      <w:color w:val="0000FF" w:themeColor="hyperlink"/>
      <w:u w:val="single"/>
    </w:rPr>
  </w:style>
  <w:style w:type="character" w:styleId="Refdecomentrio">
    <w:name w:val="annotation reference"/>
    <w:basedOn w:val="Fontepargpadro"/>
    <w:uiPriority w:val="99"/>
    <w:semiHidden/>
    <w:unhideWhenUsed/>
    <w:rsid w:val="00B24604"/>
    <w:rPr>
      <w:sz w:val="16"/>
      <w:szCs w:val="16"/>
    </w:rPr>
  </w:style>
  <w:style w:type="paragraph" w:styleId="Textodecomentrio">
    <w:name w:val="annotation text"/>
    <w:basedOn w:val="Normal"/>
    <w:link w:val="TextodecomentrioChar"/>
    <w:uiPriority w:val="99"/>
    <w:semiHidden/>
    <w:unhideWhenUsed/>
    <w:rsid w:val="00B2460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24604"/>
    <w:rPr>
      <w:rFonts w:ascii="Times New Roman" w:hAnsi="Times New Roman"/>
      <w:szCs w:val="20"/>
    </w:rPr>
  </w:style>
  <w:style w:type="paragraph" w:styleId="Assuntodocomentrio">
    <w:name w:val="annotation subject"/>
    <w:basedOn w:val="Textodecomentrio"/>
    <w:next w:val="Textodecomentrio"/>
    <w:link w:val="AssuntodocomentrioChar"/>
    <w:uiPriority w:val="99"/>
    <w:semiHidden/>
    <w:unhideWhenUsed/>
    <w:rsid w:val="00B24604"/>
    <w:rPr>
      <w:b/>
      <w:bCs/>
    </w:rPr>
  </w:style>
  <w:style w:type="character" w:customStyle="1" w:styleId="AssuntodocomentrioChar">
    <w:name w:val="Assunto do comentário Char"/>
    <w:basedOn w:val="TextodecomentrioChar"/>
    <w:link w:val="Assuntodocomentrio"/>
    <w:uiPriority w:val="99"/>
    <w:semiHidden/>
    <w:rsid w:val="00B24604"/>
    <w:rPr>
      <w:rFonts w:ascii="Times New Roman" w:hAnsi="Times New Roman"/>
      <w:b/>
      <w:bCs/>
      <w:szCs w:val="20"/>
    </w:rPr>
  </w:style>
  <w:style w:type="character" w:styleId="MenoPendente">
    <w:name w:val="Unresolved Mention"/>
    <w:basedOn w:val="Fontepargpadro"/>
    <w:uiPriority w:val="99"/>
    <w:semiHidden/>
    <w:unhideWhenUsed/>
    <w:rsid w:val="0071660C"/>
    <w:rPr>
      <w:color w:val="605E5C"/>
      <w:shd w:val="clear" w:color="auto" w:fill="E1DFDD"/>
    </w:rPr>
  </w:style>
  <w:style w:type="table" w:styleId="TabelaSimples5">
    <w:name w:val="Plain Table 5"/>
    <w:basedOn w:val="Tabelanormal"/>
    <w:uiPriority w:val="45"/>
    <w:rsid w:val="00FF7E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mples3">
    <w:name w:val="Plain Table 3"/>
    <w:basedOn w:val="Tabelanormal"/>
    <w:uiPriority w:val="43"/>
    <w:rsid w:val="00813F5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comgrade">
    <w:name w:val="Table Grid"/>
    <w:basedOn w:val="Tabelanormal"/>
    <w:uiPriority w:val="39"/>
    <w:rsid w:val="00D24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A47FF5"/>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47F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52691">
      <w:bodyDiv w:val="1"/>
      <w:marLeft w:val="0"/>
      <w:marRight w:val="0"/>
      <w:marTop w:val="0"/>
      <w:marBottom w:val="0"/>
      <w:divBdr>
        <w:top w:val="none" w:sz="0" w:space="0" w:color="auto"/>
        <w:left w:val="none" w:sz="0" w:space="0" w:color="auto"/>
        <w:bottom w:val="none" w:sz="0" w:space="0" w:color="auto"/>
        <w:right w:val="none" w:sz="0" w:space="0" w:color="auto"/>
      </w:divBdr>
    </w:div>
    <w:div w:id="155655584">
      <w:bodyDiv w:val="1"/>
      <w:marLeft w:val="0"/>
      <w:marRight w:val="0"/>
      <w:marTop w:val="0"/>
      <w:marBottom w:val="0"/>
      <w:divBdr>
        <w:top w:val="none" w:sz="0" w:space="0" w:color="auto"/>
        <w:left w:val="none" w:sz="0" w:space="0" w:color="auto"/>
        <w:bottom w:val="none" w:sz="0" w:space="0" w:color="auto"/>
        <w:right w:val="none" w:sz="0" w:space="0" w:color="auto"/>
      </w:divBdr>
    </w:div>
    <w:div w:id="159195608">
      <w:bodyDiv w:val="1"/>
      <w:marLeft w:val="0"/>
      <w:marRight w:val="0"/>
      <w:marTop w:val="0"/>
      <w:marBottom w:val="0"/>
      <w:divBdr>
        <w:top w:val="none" w:sz="0" w:space="0" w:color="auto"/>
        <w:left w:val="none" w:sz="0" w:space="0" w:color="auto"/>
        <w:bottom w:val="none" w:sz="0" w:space="0" w:color="auto"/>
        <w:right w:val="none" w:sz="0" w:space="0" w:color="auto"/>
      </w:divBdr>
    </w:div>
    <w:div w:id="161241778">
      <w:bodyDiv w:val="1"/>
      <w:marLeft w:val="0"/>
      <w:marRight w:val="0"/>
      <w:marTop w:val="0"/>
      <w:marBottom w:val="0"/>
      <w:divBdr>
        <w:top w:val="none" w:sz="0" w:space="0" w:color="auto"/>
        <w:left w:val="none" w:sz="0" w:space="0" w:color="auto"/>
        <w:bottom w:val="none" w:sz="0" w:space="0" w:color="auto"/>
        <w:right w:val="none" w:sz="0" w:space="0" w:color="auto"/>
      </w:divBdr>
    </w:div>
    <w:div w:id="230240840">
      <w:bodyDiv w:val="1"/>
      <w:marLeft w:val="0"/>
      <w:marRight w:val="0"/>
      <w:marTop w:val="0"/>
      <w:marBottom w:val="0"/>
      <w:divBdr>
        <w:top w:val="none" w:sz="0" w:space="0" w:color="auto"/>
        <w:left w:val="none" w:sz="0" w:space="0" w:color="auto"/>
        <w:bottom w:val="none" w:sz="0" w:space="0" w:color="auto"/>
        <w:right w:val="none" w:sz="0" w:space="0" w:color="auto"/>
      </w:divBdr>
    </w:div>
    <w:div w:id="367147396">
      <w:bodyDiv w:val="1"/>
      <w:marLeft w:val="0"/>
      <w:marRight w:val="0"/>
      <w:marTop w:val="0"/>
      <w:marBottom w:val="0"/>
      <w:divBdr>
        <w:top w:val="none" w:sz="0" w:space="0" w:color="auto"/>
        <w:left w:val="none" w:sz="0" w:space="0" w:color="auto"/>
        <w:bottom w:val="none" w:sz="0" w:space="0" w:color="auto"/>
        <w:right w:val="none" w:sz="0" w:space="0" w:color="auto"/>
      </w:divBdr>
    </w:div>
    <w:div w:id="390739807">
      <w:bodyDiv w:val="1"/>
      <w:marLeft w:val="0"/>
      <w:marRight w:val="0"/>
      <w:marTop w:val="0"/>
      <w:marBottom w:val="0"/>
      <w:divBdr>
        <w:top w:val="none" w:sz="0" w:space="0" w:color="auto"/>
        <w:left w:val="none" w:sz="0" w:space="0" w:color="auto"/>
        <w:bottom w:val="none" w:sz="0" w:space="0" w:color="auto"/>
        <w:right w:val="none" w:sz="0" w:space="0" w:color="auto"/>
      </w:divBdr>
    </w:div>
    <w:div w:id="577785683">
      <w:bodyDiv w:val="1"/>
      <w:marLeft w:val="0"/>
      <w:marRight w:val="0"/>
      <w:marTop w:val="0"/>
      <w:marBottom w:val="0"/>
      <w:divBdr>
        <w:top w:val="none" w:sz="0" w:space="0" w:color="auto"/>
        <w:left w:val="none" w:sz="0" w:space="0" w:color="auto"/>
        <w:bottom w:val="none" w:sz="0" w:space="0" w:color="auto"/>
        <w:right w:val="none" w:sz="0" w:space="0" w:color="auto"/>
      </w:divBdr>
    </w:div>
    <w:div w:id="677073853">
      <w:bodyDiv w:val="1"/>
      <w:marLeft w:val="0"/>
      <w:marRight w:val="0"/>
      <w:marTop w:val="0"/>
      <w:marBottom w:val="0"/>
      <w:divBdr>
        <w:top w:val="none" w:sz="0" w:space="0" w:color="auto"/>
        <w:left w:val="none" w:sz="0" w:space="0" w:color="auto"/>
        <w:bottom w:val="none" w:sz="0" w:space="0" w:color="auto"/>
        <w:right w:val="none" w:sz="0" w:space="0" w:color="auto"/>
      </w:divBdr>
    </w:div>
    <w:div w:id="740248382">
      <w:bodyDiv w:val="1"/>
      <w:marLeft w:val="0"/>
      <w:marRight w:val="0"/>
      <w:marTop w:val="0"/>
      <w:marBottom w:val="0"/>
      <w:divBdr>
        <w:top w:val="none" w:sz="0" w:space="0" w:color="auto"/>
        <w:left w:val="none" w:sz="0" w:space="0" w:color="auto"/>
        <w:bottom w:val="none" w:sz="0" w:space="0" w:color="auto"/>
        <w:right w:val="none" w:sz="0" w:space="0" w:color="auto"/>
      </w:divBdr>
    </w:div>
    <w:div w:id="804933967">
      <w:bodyDiv w:val="1"/>
      <w:marLeft w:val="0"/>
      <w:marRight w:val="0"/>
      <w:marTop w:val="0"/>
      <w:marBottom w:val="0"/>
      <w:divBdr>
        <w:top w:val="none" w:sz="0" w:space="0" w:color="auto"/>
        <w:left w:val="none" w:sz="0" w:space="0" w:color="auto"/>
        <w:bottom w:val="none" w:sz="0" w:space="0" w:color="auto"/>
        <w:right w:val="none" w:sz="0" w:space="0" w:color="auto"/>
      </w:divBdr>
    </w:div>
    <w:div w:id="826167433">
      <w:bodyDiv w:val="1"/>
      <w:marLeft w:val="0"/>
      <w:marRight w:val="0"/>
      <w:marTop w:val="0"/>
      <w:marBottom w:val="0"/>
      <w:divBdr>
        <w:top w:val="none" w:sz="0" w:space="0" w:color="auto"/>
        <w:left w:val="none" w:sz="0" w:space="0" w:color="auto"/>
        <w:bottom w:val="none" w:sz="0" w:space="0" w:color="auto"/>
        <w:right w:val="none" w:sz="0" w:space="0" w:color="auto"/>
      </w:divBdr>
    </w:div>
    <w:div w:id="1362559656">
      <w:bodyDiv w:val="1"/>
      <w:marLeft w:val="0"/>
      <w:marRight w:val="0"/>
      <w:marTop w:val="0"/>
      <w:marBottom w:val="0"/>
      <w:divBdr>
        <w:top w:val="none" w:sz="0" w:space="0" w:color="auto"/>
        <w:left w:val="none" w:sz="0" w:space="0" w:color="auto"/>
        <w:bottom w:val="none" w:sz="0" w:space="0" w:color="auto"/>
        <w:right w:val="none" w:sz="0" w:space="0" w:color="auto"/>
      </w:divBdr>
    </w:div>
    <w:div w:id="1440367700">
      <w:bodyDiv w:val="1"/>
      <w:marLeft w:val="0"/>
      <w:marRight w:val="0"/>
      <w:marTop w:val="0"/>
      <w:marBottom w:val="0"/>
      <w:divBdr>
        <w:top w:val="none" w:sz="0" w:space="0" w:color="auto"/>
        <w:left w:val="none" w:sz="0" w:space="0" w:color="auto"/>
        <w:bottom w:val="none" w:sz="0" w:space="0" w:color="auto"/>
        <w:right w:val="none" w:sz="0" w:space="0" w:color="auto"/>
      </w:divBdr>
    </w:div>
    <w:div w:id="1533223861">
      <w:bodyDiv w:val="1"/>
      <w:marLeft w:val="0"/>
      <w:marRight w:val="0"/>
      <w:marTop w:val="0"/>
      <w:marBottom w:val="0"/>
      <w:divBdr>
        <w:top w:val="none" w:sz="0" w:space="0" w:color="auto"/>
        <w:left w:val="none" w:sz="0" w:space="0" w:color="auto"/>
        <w:bottom w:val="none" w:sz="0" w:space="0" w:color="auto"/>
        <w:right w:val="none" w:sz="0" w:space="0" w:color="auto"/>
      </w:divBdr>
    </w:div>
    <w:div w:id="1873112829">
      <w:bodyDiv w:val="1"/>
      <w:marLeft w:val="0"/>
      <w:marRight w:val="0"/>
      <w:marTop w:val="0"/>
      <w:marBottom w:val="0"/>
      <w:divBdr>
        <w:top w:val="none" w:sz="0" w:space="0" w:color="auto"/>
        <w:left w:val="none" w:sz="0" w:space="0" w:color="auto"/>
        <w:bottom w:val="none" w:sz="0" w:space="0" w:color="auto"/>
        <w:right w:val="none" w:sz="0" w:space="0" w:color="auto"/>
      </w:divBdr>
    </w:div>
    <w:div w:id="1921325150">
      <w:bodyDiv w:val="1"/>
      <w:marLeft w:val="0"/>
      <w:marRight w:val="0"/>
      <w:marTop w:val="0"/>
      <w:marBottom w:val="0"/>
      <w:divBdr>
        <w:top w:val="none" w:sz="0" w:space="0" w:color="auto"/>
        <w:left w:val="none" w:sz="0" w:space="0" w:color="auto"/>
        <w:bottom w:val="none" w:sz="0" w:space="0" w:color="auto"/>
        <w:right w:val="none" w:sz="0" w:space="0" w:color="auto"/>
      </w:divBdr>
    </w:div>
    <w:div w:id="1959335755">
      <w:bodyDiv w:val="1"/>
      <w:marLeft w:val="0"/>
      <w:marRight w:val="0"/>
      <w:marTop w:val="0"/>
      <w:marBottom w:val="0"/>
      <w:divBdr>
        <w:top w:val="none" w:sz="0" w:space="0" w:color="auto"/>
        <w:left w:val="none" w:sz="0" w:space="0" w:color="auto"/>
        <w:bottom w:val="none" w:sz="0" w:space="0" w:color="auto"/>
        <w:right w:val="none" w:sz="0" w:space="0" w:color="auto"/>
      </w:divBdr>
    </w:div>
    <w:div w:id="2016766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cnte.org.br/noticias/politicas-publicas-para-as-mulheres-no-brasil-avancos-retrocessos-e-resgates-1092" TargetMode="External"/><Relationship Id="rId2" Type="http://schemas.openxmlformats.org/officeDocument/2006/relationships/numbering" Target="numbering.xml"/><Relationship Id="rId16" Type="http://schemas.openxmlformats.org/officeDocument/2006/relationships/hyperlink" Target="https://forumseguranca.org.br/wp-content/uploads/2026/03/nota-tecnica-dia-mulher-2026.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doi.org/10.1590/S0102-69091999000200009" TargetMode="Externa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estatistica.sigo.ms.gov.br/"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72A77-D52C-4A84-832C-09F7294A7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4548</Words>
  <Characters>24561</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VÍTOR DOS SANTOS RODRIGUES</cp:lastModifiedBy>
  <cp:revision>4</cp:revision>
  <dcterms:created xsi:type="dcterms:W3CDTF">2026-04-21T23:07:00Z</dcterms:created>
  <dcterms:modified xsi:type="dcterms:W3CDTF">2026-04-22T01:24:00Z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