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6093370" w14:textId="671A08DC" w:rsidR="00353A79" w:rsidRDefault="00000000">
      <w:pPr>
        <w:spacing w:before="200" w:after="200"/>
        <w:jc w:val="center"/>
        <w:rPr>
          <w:szCs w:val="24"/>
        </w:rPr>
      </w:pPr>
      <w:r>
        <w:rPr>
          <w:noProof/>
        </w:rPr>
        <w:drawing>
          <wp:anchor distT="0" distB="0" distL="0" distR="0" simplePos="0" relativeHeight="2" behindDoc="1" locked="0" layoutInCell="0" allowOverlap="1" wp14:anchorId="5945705C" wp14:editId="57F455BB">
            <wp:simplePos x="0" y="0"/>
            <wp:positionH relativeFrom="column">
              <wp:posOffset>-1118235</wp:posOffset>
            </wp:positionH>
            <wp:positionV relativeFrom="paragraph">
              <wp:posOffset>-1800225</wp:posOffset>
            </wp:positionV>
            <wp:extent cx="7559675" cy="2418715"/>
            <wp:effectExtent l="0" t="0" r="0" b="0"/>
            <wp:wrapSquare wrapText="largest"/>
            <wp:docPr id="1"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pic:cNvPicPr>
                      <a:picLocks noChangeAspect="1" noChangeArrowheads="1"/>
                    </pic:cNvPicPr>
                  </pic:nvPicPr>
                  <pic:blipFill>
                    <a:blip r:embed="rId7"/>
                    <a:stretch>
                      <a:fillRect/>
                    </a:stretch>
                  </pic:blipFill>
                  <pic:spPr bwMode="auto">
                    <a:xfrm>
                      <a:off x="0" y="0"/>
                      <a:ext cx="7559675" cy="2418715"/>
                    </a:xfrm>
                    <a:prstGeom prst="rect">
                      <a:avLst/>
                    </a:prstGeom>
                  </pic:spPr>
                </pic:pic>
              </a:graphicData>
            </a:graphic>
          </wp:anchor>
        </w:drawing>
      </w:r>
      <w:r>
        <w:rPr>
          <w:rFonts w:cs="Times New Roman"/>
          <w:szCs w:val="24"/>
        </w:rPr>
        <w:t>14º Seminário Nacional Sociologia &amp; Política</w:t>
      </w:r>
      <w:r>
        <w:rPr>
          <w:rFonts w:cs="Times New Roman"/>
          <w:szCs w:val="24"/>
        </w:rPr>
        <w:br/>
        <w:t>Saberes em Confluência</w:t>
      </w:r>
      <w:r>
        <w:rPr>
          <w:rFonts w:cs="Times New Roman"/>
          <w:szCs w:val="24"/>
        </w:rPr>
        <w:br/>
        <w:t>GT 0</w:t>
      </w:r>
      <w:r w:rsidR="0041072D">
        <w:rPr>
          <w:rFonts w:cs="Times New Roman"/>
          <w:szCs w:val="24"/>
        </w:rPr>
        <w:t>2</w:t>
      </w:r>
      <w:r>
        <w:rPr>
          <w:rFonts w:cs="Times New Roman"/>
          <w:szCs w:val="24"/>
        </w:rPr>
        <w:t xml:space="preserve"> -</w:t>
      </w:r>
      <w:r w:rsidR="0041072D">
        <w:rPr>
          <w:rFonts w:cs="Times New Roman"/>
          <w:szCs w:val="24"/>
        </w:rPr>
        <w:t>Migrações Internacionais e Fronteiras</w:t>
      </w:r>
      <w:r>
        <w:rPr>
          <w:rFonts w:cs="Times New Roman"/>
          <w:szCs w:val="24"/>
        </w:rPr>
        <w:t xml:space="preserve"> </w:t>
      </w:r>
      <w:r>
        <w:rPr>
          <w:rFonts w:cs="Times New Roman"/>
          <w:szCs w:val="24"/>
        </w:rPr>
        <w:br/>
      </w:r>
    </w:p>
    <w:p w14:paraId="7A071C43" w14:textId="7DF715C6" w:rsidR="00353A79" w:rsidRPr="0041072D" w:rsidRDefault="0041072D">
      <w:pPr>
        <w:spacing w:before="200" w:after="200"/>
        <w:jc w:val="center"/>
        <w:rPr>
          <w:szCs w:val="24"/>
        </w:rPr>
      </w:pPr>
      <w:r w:rsidRPr="0041072D">
        <w:rPr>
          <w:rFonts w:cs="Times New Roman"/>
          <w:szCs w:val="24"/>
        </w:rPr>
        <w:t>Migração Interna no Brasil: desigualdades, poder e cartografias de pertencimento</w:t>
      </w:r>
    </w:p>
    <w:p w14:paraId="7DD4289A" w14:textId="77777777" w:rsidR="00353A79" w:rsidRDefault="00353A79">
      <w:pPr>
        <w:spacing w:before="200" w:after="200"/>
        <w:jc w:val="center"/>
        <w:rPr>
          <w:rFonts w:cs="Times New Roman"/>
          <w:szCs w:val="24"/>
        </w:rPr>
      </w:pPr>
    </w:p>
    <w:p w14:paraId="1746EF4C" w14:textId="51B31519" w:rsidR="00353A79" w:rsidRPr="0041072D" w:rsidRDefault="0041072D" w:rsidP="0041072D">
      <w:pPr>
        <w:jc w:val="right"/>
      </w:pPr>
      <w:r>
        <w:rPr>
          <w:rFonts w:cs="Times New Roman"/>
          <w:szCs w:val="24"/>
        </w:rPr>
        <w:t>Flávio William Silva Costa 1</w:t>
      </w:r>
      <w:r>
        <w:rPr>
          <w:rStyle w:val="Refdenotaderodap"/>
          <w:rFonts w:cs="Times New Roman"/>
          <w:szCs w:val="24"/>
        </w:rPr>
        <w:footnoteReference w:id="1"/>
      </w:r>
    </w:p>
    <w:p w14:paraId="1756E85D" w14:textId="77777777" w:rsidR="00353A79" w:rsidRDefault="00353A79">
      <w:pPr>
        <w:jc w:val="right"/>
        <w:rPr>
          <w:rFonts w:cs="Times New Roman"/>
          <w:szCs w:val="24"/>
        </w:rPr>
      </w:pPr>
    </w:p>
    <w:p w14:paraId="7C1D02A3" w14:textId="77777777" w:rsidR="00353A79" w:rsidRDefault="00000000">
      <w:pPr>
        <w:pStyle w:val="Ttulo1"/>
      </w:pPr>
      <w:r>
        <w:t>INTRODUÇÃO</w:t>
      </w:r>
    </w:p>
    <w:p w14:paraId="7FFB12A9" w14:textId="77777777" w:rsidR="00353A79" w:rsidRDefault="00353A79">
      <w:pPr>
        <w:ind w:firstLine="0"/>
        <w:rPr>
          <w:b/>
          <w:bCs/>
        </w:rPr>
      </w:pPr>
    </w:p>
    <w:p w14:paraId="7820F2B3" w14:textId="5FD369BB" w:rsidR="00B2174A" w:rsidRDefault="00B2174A" w:rsidP="001344A3">
      <w:pPr>
        <w:ind w:firstLine="720"/>
      </w:pPr>
      <w:r>
        <w:t xml:space="preserve">A migração interna no Brasil, no que tange </w:t>
      </w:r>
      <w:r w:rsidR="001344A3">
        <w:t>à</w:t>
      </w:r>
      <w:r>
        <w:t xml:space="preserve"> mobilidade,</w:t>
      </w:r>
      <w:r w:rsidR="001344A3">
        <w:t xml:space="preserve"> poder e desigualdades persistentes,</w:t>
      </w:r>
      <w:r>
        <w:t xml:space="preserve"> constitui um dos fenômenos mais </w:t>
      </w:r>
      <w:r w:rsidR="001344A3">
        <w:t>duráveis</w:t>
      </w:r>
      <w:r>
        <w:t xml:space="preserve"> e significativos para compreender a formação social do país. Ela não se limita ao deslocamento físico de indivíduos entre regiões, mas envolve um conjunto de práticas, expectativas, tensões e disputas que se acumulam ao longo do tempo e que se repetem em diferentes gerações. A migração interna brasileira é movimento, mas também é permanência, deslocamento e continuidade; é busca por oportunidades, assim como o enfrentamento de desigualdades que se mantêm e se reconstroem. Pensar a migração interna é pensar o Brasil em sua própria estrutura, em suas diferenças </w:t>
      </w:r>
      <w:r>
        <w:lastRenderedPageBreak/>
        <w:t xml:space="preserve">históricas, em suas desigualdades regionais e em suas formas de (re)organizar a vida social. Este texto liminar, portanto, apresenta o horizonte conceitual que orienta o ensaio: compreender a migração interna como prática social que articula desigualdades regionais, governamentalidade, interseccionalidade, redes de pertencimento e disputas por reconhecimento. Ele prepara o terreno para as análises que se seguem, situando a migração como estrutura e mudança, permanência e busca por futuro. </w:t>
      </w:r>
    </w:p>
    <w:p w14:paraId="230BBA76" w14:textId="77777777" w:rsidR="00B2174A" w:rsidRDefault="00B2174A" w:rsidP="001344A3">
      <w:pPr>
        <w:ind w:firstLine="720"/>
      </w:pPr>
      <w:r>
        <w:t>Os fluxos que conectam Região Norte a Região Sul do país constituem um exemplo expressivo dessa dinâmica. Eles mostram como a mobilidade não surge de maneira espontânea, mas se forma a partir de condições históricas que se repetem e se reforçam. A desigualdade regional, que marca o território brasileiro desde sua constituição, continua sendo um dos elementos centrais para compreender por que tantos sujeitos deixam suas cidades e Estados em busca de outras possibilidades. Essa desigualdade não é apenas econômica, mas política, cultural, religiosa e simbólica. Ela se manifesta na distribuição desigual de investimentos, na concentração de oportunidades, na forma como certas regiões são vistas como centros de progresso e outras como espaços de atraso. A migração interna, nesse sentido, é uma resposta a essas diferenças, bem como parte do processo que as mantém, que as fazem resistir e existir, mesmo a contragosto das elites brasileiras.</w:t>
      </w:r>
    </w:p>
    <w:p w14:paraId="13FCF70B" w14:textId="4042FEF8" w:rsidR="00B2174A" w:rsidRDefault="00B2174A" w:rsidP="001344A3">
      <w:pPr>
        <w:ind w:firstLine="720"/>
      </w:pPr>
      <w:r>
        <w:t>Ao longo da formação acadêmica em nível de doutorado que deu origem a este ensaio, especialmente no contexto da disciplina de Teoria Sociológica Contemporânea II, tornou-se possível articular debates clássicos e contemporâneos que ajudam a compreender a migração interna como fenômeno complexo. O contato mais específico com autores como Foucault, Butler, Mbembe, Brah e Spivak</w:t>
      </w:r>
      <w:r w:rsidR="003B1018">
        <w:rPr>
          <w:rStyle w:val="Refdenotaderodap"/>
        </w:rPr>
        <w:footnoteReference w:id="2"/>
      </w:r>
      <w:r>
        <w:t xml:space="preserve">  ampliou o horizonte analítico e permitiu observar que a migração não é apenas um deslocamento motivado por fatores econômicos, mas um processo que envolve relações de poder, disputas por reconhecimento, formas de classificação social e modos de gerir populações. A migração interna, especialmente nos fluxos Norte–Sul, é marcada por racionalidades políticas que organizam a circulação de corpos, por expectativas de futuro que se repetem entre os migrantes e por experiências de desigualdade que se mantêm mesmo </w:t>
      </w:r>
      <w:r>
        <w:lastRenderedPageBreak/>
        <w:t>após o deslocamento. É surpreendente como boa parte dos casos, têm histórias e objetivos semelhantes e ao mesmo tempo distintas, corroborando para a (re)construção de novas cartografias e realinhando as antigas.</w:t>
      </w:r>
    </w:p>
    <w:p w14:paraId="6A9E20FC" w14:textId="77777777" w:rsidR="00B2174A" w:rsidRDefault="00B2174A" w:rsidP="001344A3">
      <w:pPr>
        <w:ind w:firstLine="720"/>
      </w:pPr>
      <w:r>
        <w:t>A migração interna também é sustentada por redes sociais (de contatos) que funcionam como mecanismos de apoio, mas que, ao mesmo tempo, reproduzem hierarquias internas. Essas redes são fundamentais para compreender como os fluxos se mantêm ao longo do tempo. Elas oferecem informações, acolhimento, suporte emocional e material, mas também estabelecem limites, definem posições e organizam trajetórias. A migração não ocorre de forma isolada, mas  dentro de redes que se repetem, que se ampliam e que se reorganizam conforme novos sujeitos se deslocam. Essas redes criam um senso de pertencimento e fronteiras internas que distinguem quem chega antes e quem chega depois, quem tem acesso a determinadas oportunidades e quem permanece em posições mais vulneráveis.</w:t>
      </w:r>
    </w:p>
    <w:p w14:paraId="4F644208" w14:textId="77777777" w:rsidR="00B2174A" w:rsidRDefault="00B2174A" w:rsidP="001344A3">
      <w:pPr>
        <w:ind w:firstLine="720"/>
      </w:pPr>
      <w:r>
        <w:t>Além disso, a migração interna pelo Brasil, envolve disputas simbólicas que dizem respeito à forma como certos grupos são vistos e reconhecidos na sociedade brasileira. Migrantes nortistas, sobretudo negros, indígenas e lgbtqiapn+, enfrentam processos de estigmatização que se reproduzem em diferentes contextos. Esses sujeitos carregam marcas sociais que influenciam suas trajetórias e que moldam suas possibilidades de inserção. A migração, portanto, não é apenas deslocamento, mas também negociação constante de identidades, enfrentamento de preconceitos e busca por reconhecimento em espaços que nem sempre os acolhem plenamente. E assim, vão construindo e reconstruindo suas realidades, tendo como premissa, processos migratórios semelhantes de modelos. Mas, quase sempre, o próprio processo é diferente, ainda que origem e destino sejam os mesmos.</w:t>
      </w:r>
    </w:p>
    <w:p w14:paraId="407E17E0" w14:textId="1F0581AB" w:rsidR="00353A79" w:rsidRDefault="00B2174A" w:rsidP="001344A3">
      <w:pPr>
        <w:ind w:firstLine="720"/>
      </w:pPr>
      <w:r>
        <w:t xml:space="preserve">A partir dessas reflexões, este ensaio propõe uma leitura teórico‑conceitual da migração interna no Brasil, com o bônus de análises sociologicamente relevantes, especialmente dos fluxos migratórios Norte–Sul, articulando desigualdades regionais, governamentalidade, interseccionalidade, redes de pertencimento e disputas por reconhecimento. O objetivo é compreender como a migração se constitui como prática social que envolve repetição de padrões históricos, mas também criação de novas formas de vida. Para além de ser apenas movimento, a migração interna é estrutura e mudança, mas é também permanência e busca por futuro, e enfrentamento de um passado que insiste em permanecer. Ao desenvolver esse exame, busca-se manter a semântica original do estudo, ampliando sua densidade e aprofundando seus </w:t>
      </w:r>
      <w:r>
        <w:lastRenderedPageBreak/>
        <w:t xml:space="preserve">sentidos, de modo a construir uma introdução que dialogue com todo o ensaio e que prepare o terreno para as discussões que se seguem.    </w:t>
      </w:r>
      <w:r w:rsidR="0041072D">
        <w:t xml:space="preserve">  </w:t>
      </w:r>
    </w:p>
    <w:p w14:paraId="0CADB9BF" w14:textId="77777777" w:rsidR="0041072D" w:rsidRDefault="0041072D" w:rsidP="0041072D"/>
    <w:p w14:paraId="4066B62E" w14:textId="77777777" w:rsidR="00353A79" w:rsidRDefault="00000000">
      <w:pPr>
        <w:pStyle w:val="Ttulo1"/>
      </w:pPr>
      <w:r>
        <w:t>DESENVOLVIMENTO</w:t>
      </w:r>
    </w:p>
    <w:p w14:paraId="3F67D954" w14:textId="77777777" w:rsidR="00353A79" w:rsidRDefault="00353A79">
      <w:pPr>
        <w:rPr>
          <w:b/>
          <w:bCs/>
        </w:rPr>
      </w:pPr>
    </w:p>
    <w:p w14:paraId="7A1B47B6" w14:textId="77777777" w:rsidR="00F72887" w:rsidRDefault="00F72887" w:rsidP="00F72887">
      <w:pPr>
        <w:ind w:firstLine="0"/>
        <w:rPr>
          <w:b/>
          <w:bCs/>
        </w:rPr>
      </w:pPr>
      <w:r w:rsidRPr="00F72887">
        <w:rPr>
          <w:b/>
          <w:bCs/>
        </w:rPr>
        <w:t>Desigualdades regionais como matriz histórica da mobilidade</w:t>
      </w:r>
    </w:p>
    <w:p w14:paraId="039B1153" w14:textId="20BA9907" w:rsidR="00F72887" w:rsidRDefault="00F72887" w:rsidP="00F72887">
      <w:pPr>
        <w:ind w:firstLine="720"/>
      </w:pPr>
      <w:r>
        <w:t>A migração interna no Brasil só pode ser compreendida quando situada no interior das desigualdades regionais que estruturam o país desde sua formação. Essas desigualdades não constituem apenas diferenças econômicas entre territórios, mas compõem um arranjo histórico que organiza expectativas, deslocamentos e formas de inserção social. A literatura clássica sobre mobilidade populacional no Brasil, como discutido por Singer e Martine</w:t>
      </w:r>
      <w:r w:rsidR="00544442">
        <w:rPr>
          <w:rStyle w:val="Refdenotaderodap"/>
        </w:rPr>
        <w:footnoteReference w:id="3"/>
      </w:r>
      <w:r>
        <w:t>, já indicava que os fluxos migratórios se formam em resposta a assimetrias persistentes que moldam tanto a saída quanto a chegada dos sujeitos. A migração, nessa direção, não surge de maneira isolada, se inscreve em um processo contínuo no qual regiões se diferenciam pela distribuição desigual de oportunidades, investimentos e políticas públicas.</w:t>
      </w:r>
    </w:p>
    <w:p w14:paraId="6EF44889" w14:textId="77777777" w:rsidR="00F72887" w:rsidRDefault="00F72887" w:rsidP="00F72887">
      <w:pPr>
        <w:ind w:firstLine="720"/>
      </w:pPr>
      <w:r>
        <w:t>A exemplo disso, o deslocamento Nordeste–Sudeste, predominante entre as décadas de 1950 e 1980, tornou-se um marco analítico, justamente porque sintetizava a concentração de empregos industriais e serviços urbanos em determinados centros, enquanto outras áreas permaneciam com poucas alternativas de inserção. Essa dinâmica, como argumentam Singer e Martine, não se limitava a fatores econômicos imediatos, mas expressava um padrão de desenvolvimento que se repetia e se consolidava. A migração, sob esse aspecto, funcionava como resposta e como consequência, como movimento que se formava dentro de uma estrutura que já definia quem tinha acesso a determinados espaços e quem permanecia distante deles.</w:t>
      </w:r>
    </w:p>
    <w:p w14:paraId="2C8F9021" w14:textId="64A1E812" w:rsidR="00F72887" w:rsidRDefault="00F72887" w:rsidP="00F72887">
      <w:pPr>
        <w:ind w:firstLine="720"/>
      </w:pPr>
      <w:r>
        <w:t>Com as transformações econômicas das décadas seguintes, novos polos de atração surgiram, especialmente no Sul do país. Brito e Baeninger</w:t>
      </w:r>
      <w:r w:rsidR="009F493E">
        <w:rPr>
          <w:rStyle w:val="Refdenotaderodap"/>
        </w:rPr>
        <w:footnoteReference w:id="4"/>
      </w:r>
      <w:r>
        <w:t xml:space="preserve"> observam que Estados como Santa Catarina e Paraná passaram a receber contingentes significativos de migrantes, impulsionados por mudanças no mercado de trabalho e pela diversificação das atividades urbanas. Cano</w:t>
      </w:r>
      <w:r w:rsidR="00FC1334">
        <w:rPr>
          <w:rStyle w:val="Refdenotaderodap"/>
        </w:rPr>
        <w:footnoteReference w:id="5"/>
      </w:r>
      <w:r>
        <w:t xml:space="preserve">  </w:t>
      </w:r>
      <w:r>
        <w:lastRenderedPageBreak/>
        <w:t>acrescenta que esse processo não significou uma redução homogênea das desigualdades, mas sim a criação de novos desequilíbrios que reorganizaram a mobilidade sem alterar a sua estrutura. Logo, mesmo quando o mapa econômico se desloca, a lógica que sustenta a migração permanece ancorada em diferenças regionais que se mantêm ao longo do tempo.</w:t>
      </w:r>
    </w:p>
    <w:p w14:paraId="1A990C3F" w14:textId="4888E0EF" w:rsidR="00F72887" w:rsidRDefault="00F72887" w:rsidP="00F72887">
      <w:pPr>
        <w:ind w:firstLine="720"/>
      </w:pPr>
      <w:r>
        <w:t>A leitura proposta por Milton Santos</w:t>
      </w:r>
      <w:r w:rsidR="00A440D6">
        <w:rPr>
          <w:rStyle w:val="Refdenotaderodap"/>
        </w:rPr>
        <w:footnoteReference w:id="6"/>
      </w:r>
      <w:r>
        <w:t xml:space="preserve">  contribui para compreender essa permanência. Ao conceber o espaço brasileiro como um campo de forças em constante transformação, o autor destaca que a mobilidade populacional se insere em relações que combinam economia, política e cultura. A migração interna, especialmente nos fluxos Norte–Sul, se forma dentro desse campo, no qual desigualdades históricas continuam a orientar decisões individuais e coletivas. A circulação de pessoas, nesse contexto, não ocorre de maneira neutra, mas condicionada por estruturas que definem onde estão as oportunidades, quais trajetórias são possíveis e quais permanecem limitadas.</w:t>
      </w:r>
    </w:p>
    <w:p w14:paraId="7C778095" w14:textId="77777777" w:rsidR="00F72887" w:rsidRDefault="00F72887" w:rsidP="007A6DFF">
      <w:pPr>
        <w:ind w:firstLine="720"/>
      </w:pPr>
      <w:r>
        <w:t xml:space="preserve">Essas desigualdades também se manifestam na forma como diferentes regiões são simbolicamente construídas. O Sul é frequentemente associado a ideias de progresso, estabilidade e ordem, enquanto o Norte é marcado por representações que o vinculam à carência de recursos e à ausência de investimentos. Essas imagens, ainda que absurdamente simplificadoras, influenciam expectativas e decisões migratórias, funcionando como elementos que robustecem a direção dos fluxos. A migração, do mesmo modo, não é apenas resposta a condições materiais, mas também a percepções socialmente produzidas sobre o que cada região oferece ou deixa de oferecer, sobre quais seus fatores atrativos e repulsivos. </w:t>
      </w:r>
    </w:p>
    <w:p w14:paraId="0F8CE113" w14:textId="77777777" w:rsidR="00F72887" w:rsidRDefault="00F72887" w:rsidP="007A6DFF">
      <w:pPr>
        <w:ind w:firstLine="720"/>
      </w:pPr>
      <w:r>
        <w:t>Ao considerar esses elementos, fica claro que a migração interna não pode ser reduzida a deslocamentos motivados por diferenças salariais ou oportunidades imediatas. Ela se inscreve em um processo histórico no qual desigualdades regionais se mantêm e se renovam, organizando a circulação de pessoas e definindo suas possibilidades de inserção. A migração Norte–Sul é expressão de um país que continua estruturado por contrastes profundos, nos quais mobilidade e desigualdade caminham juntas e se influenciam mutuamente. Com isso, compreender esses fluxos implica reconhecer que a migração é parte indispensável da própria dinâmica regional brasileira, desde sempre, funcionando como mecanismo que tanto responde quanto reforça as diferenças que marcam o território nacional.</w:t>
      </w:r>
    </w:p>
    <w:p w14:paraId="535A35E5" w14:textId="77777777" w:rsidR="00F72887" w:rsidRPr="007A6DFF" w:rsidRDefault="00F72887" w:rsidP="00F72887">
      <w:pPr>
        <w:ind w:firstLine="0"/>
        <w:rPr>
          <w:b/>
          <w:bCs/>
        </w:rPr>
      </w:pPr>
      <w:r w:rsidRPr="007A6DFF">
        <w:rPr>
          <w:b/>
          <w:bCs/>
        </w:rPr>
        <w:lastRenderedPageBreak/>
        <w:t>Governamentalidade, biopolítica e necropolítica na administração da mobilidade</w:t>
      </w:r>
    </w:p>
    <w:p w14:paraId="46D2759F" w14:textId="77777777" w:rsidR="00F72887" w:rsidRDefault="00F72887" w:rsidP="007A6DFF">
      <w:pPr>
        <w:ind w:firstLine="720"/>
      </w:pPr>
      <w:r>
        <w:t>Quando há menção à migração interna no Brasil, especialmente nos fluxos que conectam o Norte ao Sul, deve-se ter em mente que pode ser compreendida de maneira mais profunda quando analisada à luz das discussões sobre governamentalidade, biopolítica e necropolítica. Essas perspectivas, desenvolvidas por autores como Foucault e Mbembe, permitem observar como a circulação de pessoas não ocorre de forma neutra, mas se inscreve em racionalidades que organizam a vida social, regulam corpos e definem quais trajetórias são possíveis. A migração, por esse caminho, não é apenas deslocamento motivado por expectativas econômicas, mas parte de um conjunto de práticas que administram populações e distribuem riscos de maneira desigual. Sim, porque todo o procedimento migratório em si oferece grandes riscos nas tomadas de decisões para o fim de executar o processo. Existem as dúvidas, a euforia, o medo, o estranhamento, o arrependimento, a saudade e a adaptação se conectando.</w:t>
      </w:r>
    </w:p>
    <w:p w14:paraId="4D978830" w14:textId="0CEC6479" w:rsidR="007C0703" w:rsidRDefault="00F72887" w:rsidP="007A6DFF">
      <w:pPr>
        <w:ind w:firstLine="720"/>
      </w:pPr>
      <w:r>
        <w:t>Foucault</w:t>
      </w:r>
      <w:r w:rsidR="006E5B62">
        <w:rPr>
          <w:rStyle w:val="Refdenotaderodap"/>
        </w:rPr>
        <w:footnoteReference w:id="7"/>
      </w:r>
      <w:r>
        <w:t>, ao discutir a governamentalidade, entre outras ideias, argumenta que os Estados modernos desenvolvem técnicas específicas para gerir a vida coletiva, orientando comportamentos, regulando fluxos e definindo parâmetros de normalidade. Quando observamos a migração Norte–Sul, é possível perceber como essas técnicas se manifestam na forma como trabalhadores são incorporados a determinados setores produtivos. O deslocamento de jovens nortistas para regiões como o Vale do Itajaí</w:t>
      </w:r>
      <w:r w:rsidR="00412F81">
        <w:rPr>
          <w:rStyle w:val="Refdenotaderodap"/>
        </w:rPr>
        <w:footnoteReference w:id="8"/>
      </w:r>
      <w:r>
        <w:t xml:space="preserve">, frequentemente recrutados no passado, por empresas que buscavam mão de obra para atividades específicas, exemplifica como a mobilidade pode ser organizada por interesses econômicos que se articulam com políticas públicas e estratégias empresariais. </w:t>
      </w:r>
    </w:p>
    <w:p w14:paraId="12F73007" w14:textId="3C48BD6B" w:rsidR="00F72887" w:rsidRDefault="00F72887" w:rsidP="007A6DFF">
      <w:pPr>
        <w:ind w:firstLine="720"/>
      </w:pPr>
      <w:r>
        <w:t>Logo, é mister afirmar, que a migração funciona como mecanismo que ajusta a distribuição de trabalhadores conforme as demandas do mercado. Dessa forma, a governamentalidade se revela como mecanismo de ajuste fino da economia, montando a mobilidade humana às necessidades do capital. Isso, de maneira clara, evidencia a necessidade de repensar as políticas migratórias e os direitos dos trabalhadores em um contexto de globalização, o que exige uma reflexão crítica sobre os impactos sociais e humanos dessas dinâmicas de mobilidade.</w:t>
      </w:r>
    </w:p>
    <w:p w14:paraId="2FFA3929" w14:textId="77777777" w:rsidR="00F72887" w:rsidRDefault="00F72887" w:rsidP="007C0703">
      <w:pPr>
        <w:ind w:firstLine="720"/>
      </w:pPr>
      <w:r>
        <w:lastRenderedPageBreak/>
        <w:t xml:space="preserve">Já a perspectiva da biopolítica, contribui para compreender como esses processos se relacionam com a administração da vida. Ao tratar da gestão dos corpos e das populações, Foucault destaca que o poder moderno opera por meio de práticas que regulam a saúde, a circulação e a produtividade dos indivíduos. A migração interna, especialmente quando envolve longas distâncias e condições precárias de deslocamento, demonstra como certos grupos são expostos a riscos que se tornam parte de suas trajetórias. O uso de transportes clandestinos, a ausência de garantias trabalhistas e a vulnerabilidade cotidiana não são eventos isolados, mas elementos que compõem a experiência migratória de muitos sujeitos. Assim, a biopolítica ilumina as dinâmicas de poder que moldam as condições de vida desses migrantes, revelando como a vulnerabilidade é, muitas vezes, uma consequência de políticas e práticas de governança. Seguindo essa direção, a gestão da migração interna reflete a tensão entre o direito à mobilidade e a regulação dos corpos em espaços de exclusão. Por fim, compreender essas dinâmicas é fundamental para questionar as estruturas que perpetuam a precarização da vida de grupos marginalizados. Isso exige uma reflexão crítica sobre as políticas migratórias e os mecanismos de proteção social. </w:t>
      </w:r>
    </w:p>
    <w:p w14:paraId="2D6FB1B6" w14:textId="6A49AE37" w:rsidR="00F72887" w:rsidRDefault="00F72887" w:rsidP="007C0703">
      <w:pPr>
        <w:ind w:firstLine="720"/>
      </w:pPr>
      <w:r>
        <w:t>Mbembe</w:t>
      </w:r>
      <w:r w:rsidR="006D644B">
        <w:rPr>
          <w:rStyle w:val="Refdenotaderodap"/>
        </w:rPr>
        <w:footnoteReference w:id="9"/>
      </w:r>
      <w:r>
        <w:t>, ao desenvolver o conceito de necropolítica, amplia essa discussão ao mostrar que o poder contemporâneo também se exerce por meio da produção de zonas de morte social, nas quais determinados grupos são expostos a condições que limitam suas possibilidades de vida. No caso da migração Norte–Sul, essa perspectiva ajuda a compreender como a circulação de pessoas ocorre dentro de um cenário no qual alguns corpos são considerados mais descartáveis do que outros. A precariedade dos deslocamentos, a informalidade laboral e a ausência de políticas de proteção social indicam que certos sujeitos são colocados em posições, por meio das quais, a vulnerabilidade se torna parte estrutural de suas trajetórias. Consequentemente, a necropolítica revela a lógica subjacente que define quem pode viver e quem é relegado à morte social, evidenciando a produção de vidas descartáveis. Em última análise, reconhecer essa dinâmica é fundamental para questionar as estruturas que perpetuam a  opressão e buscar formas de resistência e transformação social.</w:t>
      </w:r>
    </w:p>
    <w:p w14:paraId="31016876" w14:textId="56800E1A" w:rsidR="00F72887" w:rsidRDefault="00F72887" w:rsidP="007C0703">
      <w:pPr>
        <w:ind w:firstLine="720"/>
      </w:pPr>
      <w:r>
        <w:lastRenderedPageBreak/>
        <w:t>Ao tratar-se de colonialidade interna, discutida criticamente por autores como Maldonado‑Torres e Segato</w:t>
      </w:r>
      <w:r w:rsidR="0012523D">
        <w:rPr>
          <w:rStyle w:val="Refdenotaderodap"/>
        </w:rPr>
        <w:footnoteReference w:id="10"/>
      </w:r>
      <w:r>
        <w:t>, também contribui para essa análise, mostrando que hierarquias regionais e raciais continuam a organizar o território brasileiro. Vale lembrar que a relação entre Norte e Sul não se limita a diferenças econômicas, argumento frequentemente utilizado nas teorias migratórias, ainda que muito relevante, mas envolve classificações simbólicas que definem quem ocupa posições de centralidade e quem permanece em lugares de subalternidade. Nessa mesma direção, Sueli Carneiro</w:t>
      </w:r>
      <w:r w:rsidR="003A2429">
        <w:rPr>
          <w:rStyle w:val="Refdenotaderodap"/>
        </w:rPr>
        <w:footnoteReference w:id="11"/>
      </w:r>
      <w:r w:rsidR="003A2429">
        <w:t xml:space="preserve"> </w:t>
      </w:r>
      <w:r>
        <w:t>argumenta que o dispositivo da racionalidade produz sujeitos que são sistematicamente desvalorizados, e essa lógica se manifesta na forma como migrantes negros e indígenas enfrentam barreiras de acesso à formalidade e a estabilidade. Assim, a racionalidade opera como um mecanismo estruturante das desigualdades sociais, aprofundando a vulnerabilidade desses grupos em contextos migratórios. Dessa forma, os empecilhos enfrentados por esses migrantes, refletem a persistência de uma hierarquia racial que condiciona oportunidades e direitos. Portanto, a compreensão desses processos esclarece a necessidade de políticas públicas que enfrentem a interseccionalidade das opressões e promovam a equidade para esses grupos historicamente marginalizados.</w:t>
      </w:r>
    </w:p>
    <w:p w14:paraId="1E114C70" w14:textId="77777777" w:rsidR="00F72887" w:rsidRDefault="00F72887" w:rsidP="007C0703">
      <w:pPr>
        <w:ind w:firstLine="720"/>
      </w:pPr>
      <w:r>
        <w:t>Essas perspectivas, quando articuladas, permitem compreender a migração interna como processo que combina gestão da vida, administração da circulação e produção de vulnerabilidades. A mobilidade não ocorre de maneira espontânea, mas se forma dentro de estruturas que organizam o território e que definem quais trajetórias são possíveis. A migração Norte–Sul expressa a continuidade de um país no qual desigualdades regionais, hierarquias raciais e racionalidades políticas se combinam para produzir experiências distintas de mobilidade. Com isso, analisar esses fluxos implica reconhecer que a migração é parte de um conjunto mais amplo de práticas que administram populações e que distribuem riscos de maneira desigual, configurando um cenário no qual a circulação de pessoas se torna também forma de gestão social.</w:t>
      </w:r>
    </w:p>
    <w:p w14:paraId="6C5FF838" w14:textId="17733DF8" w:rsidR="00F72887" w:rsidRPr="007C0703" w:rsidRDefault="007B3D65" w:rsidP="00F72887">
      <w:pPr>
        <w:ind w:firstLine="0"/>
        <w:rPr>
          <w:b/>
          <w:bCs/>
        </w:rPr>
      </w:pPr>
      <w:r>
        <w:rPr>
          <w:b/>
          <w:bCs/>
        </w:rPr>
        <w:t xml:space="preserve"> </w:t>
      </w:r>
      <w:r w:rsidR="00F72887" w:rsidRPr="007C0703">
        <w:rPr>
          <w:b/>
          <w:bCs/>
        </w:rPr>
        <w:t>Interseccionalidade, racialidade e segmentação ocupacional</w:t>
      </w:r>
    </w:p>
    <w:p w14:paraId="38C25B94" w14:textId="35066048" w:rsidR="00F72887" w:rsidRDefault="00F72887" w:rsidP="007C0703">
      <w:pPr>
        <w:ind w:firstLine="720"/>
      </w:pPr>
      <w:r>
        <w:lastRenderedPageBreak/>
        <w:t>A compreensão da migração interna no Brasil exige considerar como diferentes marcadores sociais se combinam para produzir trajetórias desiguais. A interseccionalidade, formulada por Crenshaw e aprofundada por Collins</w:t>
      </w:r>
      <w:r w:rsidR="008F0B8D">
        <w:rPr>
          <w:rStyle w:val="Refdenotaderodap"/>
        </w:rPr>
        <w:footnoteReference w:id="12"/>
      </w:r>
      <w:r>
        <w:t xml:space="preserve">, oferece uma chave analítica que permite observar como gênero, raça e classe não atuam de forma isolada, mas se articulam na experiência concreta dos sujeitos. Nos fluxos Norte–Sul, essa articulação se torna clara quando se analisam os setores de inserção ocupacional, as expectativas de mobilidade e as barreiras enfrentadas pelos migrantes. A migração, nessa perspectiva, não é apenas deslocamento entre regiões, mas também deslocamento entre posições sociais que são definidas por estruturas que se mantêm ao longo do tempo. </w:t>
      </w:r>
    </w:p>
    <w:p w14:paraId="13401183" w14:textId="572A6711" w:rsidR="00F72887" w:rsidRDefault="00F72887" w:rsidP="007C0703">
      <w:pPr>
        <w:ind w:firstLine="720"/>
      </w:pPr>
      <w:r>
        <w:t>As mulheres migrantes, por exemplo, tendem a se inserir em atividades relacionadas ao cuidado, aos serviços e à indústria têxtil. Essa tendência, discutida por autoras como Sassen</w:t>
      </w:r>
      <w:r w:rsidR="0007635C">
        <w:rPr>
          <w:rStyle w:val="Refdenotaderodap"/>
        </w:rPr>
        <w:footnoteReference w:id="13"/>
      </w:r>
      <w:r>
        <w:t>, não se explica apenas pela disponibilidade de vagas, mas por uma divisão sexual do trabalho que se repete e que orienta a distribuição das oportunidades. A migração feminina ocorre dentro de um cenário no qual expectativas sociais sobre o papel das mulheres influenciam suas possibilidades de inserção. Mesmo quando possuem escolaridade elevada, muitas acabam ocupando funções que reproduzem padrões históricos de subalternização. Isso engendra a persistência de estruturas patriarcais que condicionaram as trajetórias das mulheres. O que exige uma reflexão sobre as políticas de gênero e as estratégias de empoderamento feminino nos contextos migratórios, promovendo a equidade e o reconhecimento dos direitos das mulheres migrantes em suas múltiplas dimensões.</w:t>
      </w:r>
    </w:p>
    <w:p w14:paraId="1BEC92C7" w14:textId="24CCE8C8" w:rsidR="00F72887" w:rsidRDefault="00F72887" w:rsidP="007C0703">
      <w:pPr>
        <w:ind w:firstLine="720"/>
      </w:pPr>
      <w:r>
        <w:t>Os homens migrantes, por sua vez, encontram espaço principalmente na construção civil, em serviços de baixa remuneração e em atividades que exigem força física. Essa distribuição, analisada por Hasenbalg e Guimarães</w:t>
      </w:r>
      <w:r w:rsidR="00723066">
        <w:rPr>
          <w:rStyle w:val="Refdenotaderodap"/>
        </w:rPr>
        <w:footnoteReference w:id="14"/>
      </w:r>
      <w:r>
        <w:t xml:space="preserve"> no contexto das desigualdades raciais brasileiras, evidencia como a racialidade continua a organizar o mercado de trabalho. Migrantes negros e indígenas, especialmente aqueles provenientes do Norte, enfrentam obstáculos adicionais que limitam seu acesso a empregos formais e a posições de maior estabilidade. A migração, nesse caso, não funciona como mecanismo de ascensão, mas como forma de inserção </w:t>
      </w:r>
      <w:r>
        <w:lastRenderedPageBreak/>
        <w:t>em nichos ocupacionais que já se encontram marcados por hierarquias raciais e de classe. A realidade opera como um filtro que define as oportunidades e os limites na mobilidade social desses grupos. A precarização do trabalho e a exclusão social são, portanto, consequências diretas dessas dinâmicas. Promover a equidade racial e combater as desigualdades no mercado de trabalho são passos essenciais para transformar essa realidade.</w:t>
      </w:r>
    </w:p>
    <w:p w14:paraId="5DC79B02" w14:textId="63DCF297" w:rsidR="00F72887" w:rsidRDefault="00F72887" w:rsidP="007C0703">
      <w:pPr>
        <w:ind w:firstLine="720"/>
      </w:pPr>
      <w:r>
        <w:t>A perspectiva de Butler</w:t>
      </w:r>
      <w:r w:rsidR="00447BB5">
        <w:rPr>
          <w:rStyle w:val="Refdenotaderodap"/>
        </w:rPr>
        <w:footnoteReference w:id="15"/>
      </w:r>
      <w:r w:rsidR="00447BB5">
        <w:t xml:space="preserve"> </w:t>
      </w:r>
      <w:r>
        <w:t>sobre os quadros de reconhecimento contribui para compreender como essas desigualdades se manifestam no cotidiano. A autora argumenta que nem todas as vidas são reconhecidas como dignas de proteção ou de luto, e essa ideia ajuda a entender por que as dificuldades enfrentadas pelos migrantes raramente ganham visibilidade pública. Acidentes em transportes precários, jornadas extenuantes, discriminações raciais e condições de moradia inadequadas são frequentemente tratadas como parte natural da experiência migratória, e não como problemas sociais que exigem intervenção. Essa naturalização reforça a posição marginal ocupada por muitos migrantes, que permanecem invisíveis mesmo quando suas trajetórias são marcadas por perdas significativas.</w:t>
      </w:r>
    </w:p>
    <w:p w14:paraId="4D9276D7" w14:textId="03C5816D" w:rsidR="00F72887" w:rsidRDefault="00F72887" w:rsidP="007C0703">
      <w:pPr>
        <w:ind w:firstLine="720"/>
      </w:pPr>
      <w:r>
        <w:t>A interseccionalidade também permite observar como as redes de apoio, embora fundamentais para a sustentação dos fluxos, reproduzem desigualdades internas. Brah</w:t>
      </w:r>
      <w:r w:rsidR="00736F76">
        <w:rPr>
          <w:rStyle w:val="Refdenotaderodap"/>
        </w:rPr>
        <w:footnoteReference w:id="16"/>
      </w:r>
      <w:r>
        <w:t xml:space="preserve"> argumenta que pertencimentos múltiplos não são homogêneos, e essa ideia se aplica às comunidades migrantes que se formam no Sul. As redes oferecem suporte, mas também estabelecem hierarquias que definem quem tem acesso a determinadas oportunidades e quem permanece restrito a funções mais precarizadas. Mulheres, homens e pessoas LGBTQIAPN+ vivenciam essas redes de maneiras distintas, enfrentando expectativas e limitações que se combinam com seus marcadores sociais.</w:t>
      </w:r>
    </w:p>
    <w:p w14:paraId="06E5EB27" w14:textId="77777777" w:rsidR="00F72887" w:rsidRDefault="00F72887" w:rsidP="007C0703">
      <w:pPr>
        <w:ind w:firstLine="720"/>
      </w:pPr>
      <w:r>
        <w:t xml:space="preserve">Essa dinâmica se torna ainda mais evidente quando se observa que muitos migrantes, mesmo com escolaridade superior, acabam ocupando posições subalternas em supermercados, serviços gerais e atividades informais. Essa situação, discutida por diversos estudos sobre mobilidade social, indica que a migração não garante necessariamente melhoria nas condições de vida. Em muitos casos, ela apenas desloca a precariedade de um território para outro, mantendo os sujeitos em posições que já estavam socialmente definidas antes do deslocamento. </w:t>
      </w:r>
      <w:r>
        <w:lastRenderedPageBreak/>
        <w:t xml:space="preserve">Ao considerar esses elementos, torna-se possível compreender que a migração interna não é apenas resposta às desigualdades regionais, mas também processo que reorganiza essas desigualdades em novos contextos. A segmentação ocupacional, a racialização das oportunidades e a invisibilidade dos sofrimentos compõem um cenário no qual a mobilidade se torna limitada por estruturas que se mantêm. A interseccionalidade, nesse sentido, não funciona apenas como ferramenta analítica, mas como forma de evidenciar que a migração é experiência marcada por múltiplas camadas de desigualdade que se combinam e se reforçam. </w:t>
      </w:r>
    </w:p>
    <w:p w14:paraId="3D7AF0DD" w14:textId="77777777" w:rsidR="00F72887" w:rsidRDefault="00F72887" w:rsidP="007C0703">
      <w:pPr>
        <w:ind w:firstLine="720"/>
      </w:pPr>
      <w:r>
        <w:t>Em síntese, a migração norte-sul no Brasil esclarece as intricadas relações entre racialização, subalternização e saúde mental. As contribuições de Sueli Carneiro, Foucault, Mbembe, Sassen e Hasenbalg iluminam as dinâmicas de poder que moldam as trajetórias dos migrantes, provando a necessidade de abordagens interseccionais e críticas para compreender e enfrentar os impactos psicossociais dessas experiências. A saúde mental emerge, assim, como um campo de disputa central para garantia de direitos e a promoção da justiça social. A exposição a situações de violência, a perda de redes de apoio social e a precarização das condições de vida contribuem para o aumento de sintomas de ansiedade, depressão e trauma, refletindo a gestão diferencial da vida desses sujeitos pelas estruturas de biopoder e necropoder. A interseccionalidade das opressões entre raça, classe e gênero, agrava essas dinâmicas, limitando o acesso a cuidados e direitos, frequentemente ignorados pelos próprios migrantes, requerendo uma ação política e social mais assertiva, que tenha como eixo a equidade e a justiça em saúde, não apenas física, mas sobretudo mental.</w:t>
      </w:r>
    </w:p>
    <w:p w14:paraId="307722E1" w14:textId="77777777" w:rsidR="00F72887" w:rsidRDefault="00F72887" w:rsidP="00F72887">
      <w:pPr>
        <w:ind w:firstLine="0"/>
      </w:pPr>
    </w:p>
    <w:p w14:paraId="6581EE59" w14:textId="77777777" w:rsidR="00F72887" w:rsidRPr="007C0703" w:rsidRDefault="00F72887" w:rsidP="00F72887">
      <w:pPr>
        <w:ind w:firstLine="0"/>
        <w:rPr>
          <w:b/>
          <w:bCs/>
        </w:rPr>
      </w:pPr>
      <w:r w:rsidRPr="007C0703">
        <w:rPr>
          <w:b/>
          <w:bCs/>
        </w:rPr>
        <w:t>Redes migratórias como cartografias de pertencimento</w:t>
      </w:r>
    </w:p>
    <w:p w14:paraId="44A1B9A7" w14:textId="77777777" w:rsidR="00F72887" w:rsidRDefault="00F72887" w:rsidP="007C0703">
      <w:pPr>
        <w:ind w:firstLine="720"/>
      </w:pPr>
      <w:r>
        <w:t xml:space="preserve">As redes sociais que sustentam deslocamentos internos podem ser compreendidas como estruturas relacionais que organizam trajetórias, orientam expectativas e modulam experiências de mobilidade. Elas funcionam como dispositivos que reduzem incertezas, ampliam repertórios informacionais e oferecem apoio coletivo, mas também produzem ordenamentos internos que distribuem posições e responsabilidades. A leitura proposta por Brah permite situar esses circuitos dentro de formações que articulam pertencimentos simultâneos, nos quais vínculos afetivos, econômicos e simbólicos se estendem entre diferentes localidades. No fluxo Norte–Sul, essa abordagem evidencia a constituição de um campo de circulação que conecta territórios </w:t>
      </w:r>
      <w:r>
        <w:lastRenderedPageBreak/>
        <w:t>de origem e espaços de chegada, produzindo continuidades comunitárias que coexistem com novas exigências sociais e institucionais.</w:t>
      </w:r>
    </w:p>
    <w:p w14:paraId="0B5C1609" w14:textId="294F4993" w:rsidR="00F72887" w:rsidRDefault="00F72887" w:rsidP="007C0703">
      <w:pPr>
        <w:ind w:firstLine="720"/>
      </w:pPr>
      <w:r>
        <w:t>A contribuição de Becker</w:t>
      </w:r>
      <w:r w:rsidR="00A20C39">
        <w:rPr>
          <w:rStyle w:val="Refdenotaderodap"/>
        </w:rPr>
        <w:footnoteReference w:id="17"/>
      </w:r>
      <w:r>
        <w:t xml:space="preserve">  reforça que esses arranjos não operam de maneira espontânea, mas se estruturam como carreiras coletivas que orientam condutas, expectativas e formas de reconhecimento. As redes funcionam como trajetórias morais que conferem legitimidade a práticas informais, como o transporte alternativo ou a indicação de postos de trabalho em nichos específicos, compondo um universo normativo que organiza a vida cotidiana dos migrantes. As formulações de Goffman e Garfinkel</w:t>
      </w:r>
      <w:r w:rsidR="0099651B">
        <w:rPr>
          <w:rStyle w:val="Refdenotaderodap"/>
        </w:rPr>
        <w:footnoteReference w:id="18"/>
      </w:r>
      <w:r>
        <w:t xml:space="preserve"> ampliam essa análise ao mostrar como indivíduos administram sua apresentação pública nos contextos de destino. A gestão da imagem pessoal envolve estratégias de autoproteção que buscam neutralizar marcas percebidas como desvalorizadas, entre elas sotaque, procedência regional ou racialização, compondo um trabalho contínuo de adequação às expectativas locais.</w:t>
      </w:r>
    </w:p>
    <w:p w14:paraId="66C60CFE" w14:textId="77777777" w:rsidR="00F72887" w:rsidRDefault="00F72887" w:rsidP="007C0703">
      <w:pPr>
        <w:ind w:firstLine="720"/>
      </w:pPr>
      <w:r>
        <w:t>Essas dinâmicas despontam que as redes não eliminam assimetrias estruturais, mas  reconfiguram posições sociais em novos cenários. Mulheres encontram caminhos para ingressar em atividades ligadas ao cuidado e aos serviços, mas permanecem concentradas em funções pouco valorizadas. Homens circulam por circuitos associados à construção civil, embora enfrentem limites para alcançar postos mais estáveis. Pessoas lgbtqiapn+ e negras, mesmo com escolaridade elevada, acabam direcionadas a segmentos de baixa proteção trabalhista, especialmente no comércio e em serviços marcados pela informalidade. Esses padrões mostram que a mobilidade não se traduz automaticamente em ampliação de oportunidades, mas opera dentro de fronteiras sociais que condicionam trajetórias e restringem possibilidades de ascensão, ainda que reconheçam suas habilidades intelectuais.</w:t>
      </w:r>
    </w:p>
    <w:p w14:paraId="06F78C72" w14:textId="77777777" w:rsidR="00D14D5D" w:rsidRDefault="00D14D5D" w:rsidP="007C0703">
      <w:pPr>
        <w:ind w:firstLine="720"/>
      </w:pPr>
    </w:p>
    <w:p w14:paraId="6903688E" w14:textId="77777777" w:rsidR="00F72887" w:rsidRPr="007C0703" w:rsidRDefault="00F72887" w:rsidP="00F72887">
      <w:pPr>
        <w:ind w:firstLine="0"/>
        <w:rPr>
          <w:b/>
          <w:bCs/>
        </w:rPr>
      </w:pPr>
      <w:r w:rsidRPr="007C0703">
        <w:rPr>
          <w:b/>
          <w:bCs/>
        </w:rPr>
        <w:t>Quadros da vida, reconhecimento e subalternidade</w:t>
      </w:r>
    </w:p>
    <w:p w14:paraId="42CF0F6A" w14:textId="70D82F6C" w:rsidR="00F72887" w:rsidRDefault="00F72887" w:rsidP="007C0703">
      <w:pPr>
        <w:ind w:firstLine="720"/>
      </w:pPr>
      <w:r>
        <w:t>A migração interna envolve disputas profundas sobre quem é legitimado como sujeito social, ultrapassando qualquer compreensão que a reduza a deslocamentos territoriais. A reflexão de Butler</w:t>
      </w:r>
      <w:r w:rsidR="00D14D5D">
        <w:rPr>
          <w:rStyle w:val="Refdenotaderodap"/>
        </w:rPr>
        <w:footnoteReference w:id="19"/>
      </w:r>
      <w:r w:rsidR="00D14D5D">
        <w:t xml:space="preserve"> </w:t>
      </w:r>
      <w:r>
        <w:t xml:space="preserve">sobre os enquadramentos da vida mostra que a inteligibilidade pública é </w:t>
      </w:r>
      <w:r>
        <w:lastRenderedPageBreak/>
        <w:t>distribuída de forma desigual, produzindo hierarquias que determinam quais existências são tratadas como plenamente reconhecíveis e quais permanecem fora dos regimes de proteção. Essa chave analítica permite compreender por que migrantes nortistas, mesmo diante de perdas materiais, instabilidade cotidiana e trajetórias marcadas por rupturas, raramente alcançam posições que lhes garantam legitimidade institucional. Suas experiências são filtradas por matrizes normativas que definem o que conta como vida digna de atenção e o que permanece relegado à indiferença, produzindo um campo de visibilidade seletiva que molda expectativas, oportunidades e formas de pertencimento.</w:t>
      </w:r>
    </w:p>
    <w:p w14:paraId="1C8F2AB4" w14:textId="4F35E52B" w:rsidR="00F72887" w:rsidRDefault="00F72887" w:rsidP="007C0703">
      <w:pPr>
        <w:ind w:firstLine="720"/>
      </w:pPr>
      <w:r>
        <w:t>A crítica de Spivak</w:t>
      </w:r>
      <w:r w:rsidR="00BF0A57">
        <w:rPr>
          <w:rStyle w:val="Refdenotaderodap"/>
        </w:rPr>
        <w:footnoteReference w:id="20"/>
      </w:r>
      <w:r>
        <w:t xml:space="preserve"> à possibilidade de enunciação do subalterno, aprofunda essa discussão ao mostrar que discursos produzidos por grupos historicamente desautorizados passam por mediações que distorcem, silenciam ou transformam suas narrativas em objetos de exotização. No caso da migração interna, relatos de trabalhadores deslocados são frequentemente convertidos em números, estereótipos regionais ou explicações culturalistas que obscurecem desigualdades estruturais. Essa filtragem discursiva impede que suas interpretações da realidade circulem como conhecimento legítimo, restringindo sua capacidade de produzir sentidos sobre a própria experiência. A impossibilidade de falar, tal como formulada por Spivak, não se refere ao silêncio literal, mas à ausência de condições para que a fala seja reconhecida como expressão válida de um sujeito situado, o que se torna evidente quando trajetórias migratórias são reduzidas a caricaturas ou a categorias administrativas.</w:t>
      </w:r>
    </w:p>
    <w:p w14:paraId="61F29C7A" w14:textId="36C6DFBE" w:rsidR="00F72887" w:rsidRDefault="00F72887" w:rsidP="006C3D8A">
      <w:pPr>
        <w:ind w:firstLine="720"/>
      </w:pPr>
      <w:r>
        <w:t>Chakrabarty</w:t>
      </w:r>
      <w:r w:rsidR="00BF0A57">
        <w:rPr>
          <w:rStyle w:val="Refdenotaderodap"/>
        </w:rPr>
        <w:footnoteReference w:id="21"/>
      </w:r>
      <w:r>
        <w:t xml:space="preserve">  contribui ao propor a desprovincialização da sociologia, deslocando o foco analítico das metrópoles para as margens e mostrando que formas de vida situadas fora dos centros hegemônicos produzem racionalidades próprias. Essa mudança de perspectiva é fundamental para compreender a migração interna como fenômeno que desafia modelos explicativos centrados no Sul e Sudeste, permitindo reconhecer que práticas, valores e expectativas dos migrantes não podem ser interpretados apenas a partir de categorias elaboradas nos polos de poder. Pierucci</w:t>
      </w:r>
      <w:r w:rsidR="00B1155B">
        <w:rPr>
          <w:rStyle w:val="Refdenotaderodap"/>
        </w:rPr>
        <w:footnoteReference w:id="22"/>
      </w:r>
      <w:r>
        <w:t xml:space="preserve">, ao discutir as armadilhas da diferença, alerta para o uso estratégico de identidades regionais como mecanismo de reforço de fronteiras simbólicas, o que intensifica desigualdades já existentes e legitima classificações que naturalizam a inferiorização </w:t>
      </w:r>
      <w:r>
        <w:lastRenderedPageBreak/>
        <w:t>de determinados grupos, condições muito perceptíveis nas atuais conjunturas governamentais. A combinação dessas abordagens informa, mesmo sutilmente, que a migração interna não apenas desloca corpos, mas também desloca epistemologias sociais e culturais, tensionando modos de ver e interpretar o país.</w:t>
      </w:r>
    </w:p>
    <w:p w14:paraId="6C583312" w14:textId="77777777" w:rsidR="006C3D8A" w:rsidRDefault="006C3D8A" w:rsidP="006C3D8A">
      <w:pPr>
        <w:ind w:firstLine="720"/>
      </w:pPr>
    </w:p>
    <w:p w14:paraId="3369F233" w14:textId="77777777" w:rsidR="00F72887" w:rsidRPr="006C3D8A" w:rsidRDefault="00F72887" w:rsidP="00F72887">
      <w:pPr>
        <w:ind w:firstLine="0"/>
        <w:rPr>
          <w:b/>
          <w:bCs/>
        </w:rPr>
      </w:pPr>
      <w:r w:rsidRPr="006C3D8A">
        <w:rPr>
          <w:b/>
          <w:bCs/>
        </w:rPr>
        <w:t>Metodologia ampliada e implicações políticas</w:t>
      </w:r>
    </w:p>
    <w:p w14:paraId="027D6E5D" w14:textId="77777777" w:rsidR="00F72887" w:rsidRDefault="00F72887" w:rsidP="006C3D8A">
      <w:pPr>
        <w:ind w:firstLine="720"/>
      </w:pPr>
      <w:r>
        <w:t>A compreensão da migração interna demanda uma abordagem metodológica capaz de captar simultaneamente estruturas sociais, experiências subjetivas e dinâmicas históricas. Iosifides critica a tradição positivista que reduziu a migração a indicadores numéricos, produzindo leituras que ignoram dimensões simbólicas, culturais e políticas. Essa crítica converge com as formulações de Denzin, Lincoln e Geertz, que defendem a centralidade das narrativas e das descrições densas para apreender significados atribuídos pelos sujeitos às suas trajetórias. A incorporação dessas perspectivas permite reconhecer que deslocamentos não são apenas respostas a estímulos econômicos, mas processos atravessados por expectativas, afetos, memórias, narrativas e disputas por legitimidade. Bourdieu acrescenta que trajetórias sociais são moldadas por habitus e estruturas de oportunidade, o que implica considerar como disposições incorporadas e condições objetivas se articulam na produção de escolhas migratórias. Essa combinação teórica amplia o escopo analítico, permitindo observar como práticas individuais se inscrevem em campos sociais que distribuem recursos, classificam posições e condicionam possibilidades de mobilidade.</w:t>
      </w:r>
    </w:p>
    <w:p w14:paraId="20FFA57A" w14:textId="77777777" w:rsidR="00F72887" w:rsidRDefault="00F72887" w:rsidP="006C3D8A">
      <w:pPr>
        <w:ind w:firstLine="720"/>
      </w:pPr>
      <w:r>
        <w:t xml:space="preserve">A prosopografia, conforme Stone e Tilly, oferece ferramentas para analisar coletivamente trajetórias, identificando padrões compartilhados e diferenças significativas entre grupos de migrantes. Essa abordagem possibilita compreender como redes familiares, vínculos comunitários e expectativas de futuro se organizam em torno de repertórios comuns, ao mesmo tempo em que evidencia variações internas que desafiam explicações homogêneas. Análises longitudinais, como as propostas por Ragin e Menard, permitem observar transformações nos fluxos ao longo do tempo, revelando como mudanças econômicas, políticas públicas e dinâmicas regionais reconfiguram sentidos da mobilidade. Pesquisas desenvolvidas na UFPR reforçam a importância dessa integração metodológica ao demonstrar que a migração interna produz novas formas de pertencimento e exclusão que não podem ser apreendidas apenas por indicadores quantitativos. Esses estudos mostram que deslocamentos geram rearranjos </w:t>
      </w:r>
      <w:r>
        <w:lastRenderedPageBreak/>
        <w:t>identitários, redefinem fronteiras simbólicas e produzem tensões entre expectativas de ascensão e experiências de discriminação, elementos que só emergem quando métodos qualitativos e quantitativos são articulados de maneira consistente.</w:t>
      </w:r>
    </w:p>
    <w:p w14:paraId="62237290" w14:textId="4B69E36D" w:rsidR="00353A79" w:rsidRDefault="00F72887" w:rsidP="006C3D8A">
      <w:pPr>
        <w:ind w:firstLine="720"/>
      </w:pPr>
      <w:r>
        <w:t>A combinação entre estatísticas e narrativas corrobora</w:t>
      </w:r>
      <w:r w:rsidR="005936BC">
        <w:t xml:space="preserve"> </w:t>
      </w:r>
      <w:r>
        <w:t>fluxos migratórios simultaneamente estruturais e subjetivos. Dados censitários permitem identificar padrões de deslocamento, distribuição territorial e inserção ocupacional, enquanto entrevistas e observações de campo demonstram expectativas de futuro, experiências de preconceito, práticas de solidariedade e formas de resistência cotidiana. Essa integração metodológica é fundamental para evitar que migrantes sejam reduzidos a categorias abstratas, reconhecendo-os como produtores de conhecimento político e social. Ao articular diferentes técnicas de pesquisa, torna-se possível compreender que a migração interna não apenas reorganiza a distribuição populacional, mas também redefine relações de poder, disputas por reconhecimento e modos de pertencimento. As implicações políticas dessa abordagem são amplas, pois evidenciam que políticas públicas e interpretações acadêmicas que ignoram a complexidade das experiências migratórias, contribuem para a reprodução de desigualdades e para a manutenção de hierarquias regionais que abarcam o país.</w:t>
      </w:r>
    </w:p>
    <w:p w14:paraId="3EFC950A" w14:textId="77777777" w:rsidR="00F72887" w:rsidRDefault="00F72887" w:rsidP="00F72887">
      <w:pPr>
        <w:ind w:firstLine="0"/>
      </w:pPr>
    </w:p>
    <w:p w14:paraId="04EEDB61" w14:textId="77777777" w:rsidR="00353A79" w:rsidRDefault="00000000">
      <w:pPr>
        <w:pStyle w:val="Ttulo1"/>
      </w:pPr>
      <w:r>
        <w:t>CONCLUSÃO</w:t>
      </w:r>
    </w:p>
    <w:p w14:paraId="5A62BC47" w14:textId="77777777" w:rsidR="00353A79" w:rsidRDefault="00353A79">
      <w:pPr>
        <w:rPr>
          <w:b/>
          <w:bCs/>
        </w:rPr>
      </w:pPr>
    </w:p>
    <w:p w14:paraId="46EB6130" w14:textId="4AA5733F" w:rsidR="00482D7E" w:rsidRDefault="00482D7E" w:rsidP="00482D7E">
      <w:r>
        <w:t>A migração Norte–Sul elucida que a mobilidade interna no Brasil</w:t>
      </w:r>
      <w:r w:rsidR="00977F3B">
        <w:t>, como disputa política e simbólica</w:t>
      </w:r>
      <w:r w:rsidR="005150E3">
        <w:t xml:space="preserve">, </w:t>
      </w:r>
      <w:r>
        <w:t xml:space="preserve">opera simultaneamente como resposta às desigualdades regionais e como mecanismo que as reinscreve em novas formas. Ela encontra a persistência da colonialidade interna, que organiza hierarquias territoriais e produz classificações que naturalizam a inferiorização de determinados grupos. Mostra também como a governamentalidade administra corpos por meio de políticas que regulam circulação, acesso a direitos e condições de permanência, enquanto a necropolítica expõe determinados sujeitos a situações de vulnerabilidade que ultrapassam a esfera econômica. Redes de solidariedade sustentam trajetórias e oferecem suporte cotidiano, mas também reproduzem hierarquias internas que distribuem responsabilidades e expectativas de maneira desigual. Marcadores sociais se entrelaçam na segmentação ocupacional, produzindo padrões de inserção que combinam raça, gênero, classe e origem regional. O reconhecimento opera de forma seletiva, filtrando </w:t>
      </w:r>
      <w:r>
        <w:lastRenderedPageBreak/>
        <w:t>narrativas, desautorizando experiências e precarizando vidas que não se enquadram nos modelos hegemônicos de cidadania.</w:t>
      </w:r>
      <w:r>
        <w:tab/>
      </w:r>
    </w:p>
    <w:p w14:paraId="4EFC4A00" w14:textId="77777777" w:rsidR="00482D7E" w:rsidRDefault="00482D7E" w:rsidP="00482D7E">
      <w:r>
        <w:t>Pensar políticas públicas para esse campo implica reconhecer migrantes como sujeitos políticos, e não apenas como força de trabalho deslocada entre regiões. Exige compreender que enfrentar desigualdades regionais demanda enfrentar, simultaneamente, desigualdades raciais, de gênero e de classe que estruturam a sociedade brasileira. A migração interna não pode ser tratada como fenômeno demográfico isolado, pois envolve disputas simbólicas, culturais e institucionais que moldam expectativas de futuro, formas de pertencimento e possibilidades de ascensão. A potência analítica desse campo reside justamente na capacidade de revelar como estruturas históricas se atualizam em práticas cotidianas, como classificações territoriais são mobilizadas para justificar exclusões e como trajetórias individuais se inscrevem em dinâmicas mais amplas de poder. Políticas que ignoram essa complexidade tendem a reforçar desigualdades, enquanto abordagens que reconhecem a agência dos migrantes permitem construir respostas mais sensíveis às múltiplas dimensões da mobilidade.</w:t>
      </w:r>
    </w:p>
    <w:p w14:paraId="3FAFBA7E" w14:textId="77777777" w:rsidR="00482D7E" w:rsidRDefault="00482D7E" w:rsidP="00482D7E">
      <w:r>
        <w:t>Nesse cenário, torna‑se indispensável considerar também os impactos da migração sobre a saúde mental dos sujeitos envolvidos. A mobilidade interna pode intensificar sentimentos de desamparo, ruptura de vínculos, insegurança material e exposição a discriminações que afetam o bem‑estar psicológico. A pressão para corresponder às expectativas familiares, a necessidade de ocultar marcas regionais para evitar estigmas e a vivência cotidiana de racismo, xenofobia interna e precarização laboral, produzem desgaste emocional que se acumula ao longo do tempo, algumas vezes irreversíveis. A ausência de redes institucionais de apoio, somada à dificuldade de acesso a serviços de saúde, amplia esse quadro, criando condições que favorecem sofrimento psíquico. Considerar a saúde mental como parte das implicações políticas da migração é reconhecer que trajetórias migratórias não envolvem apenas deslocamentos físicos, mas também processos subjetivos que exigem atenção pública. Incorporar essa dimensão às análises e às políticas significa reconhecer que a mobilidade, no Brasil, é caracterizada por disputas que afetam tanto a materialidade da vida quanto sua dimensão emocional.</w:t>
      </w:r>
    </w:p>
    <w:p w14:paraId="3B52CC89" w14:textId="77777777" w:rsidR="00FC6CDB" w:rsidRDefault="00FC6CDB" w:rsidP="00482D7E"/>
    <w:p w14:paraId="53E6B43B" w14:textId="77777777" w:rsidR="00FC6CDB" w:rsidRDefault="00FC6CDB" w:rsidP="00482D7E"/>
    <w:p w14:paraId="43851AB2" w14:textId="77777777" w:rsidR="00353A79" w:rsidRDefault="00353A79"/>
    <w:p w14:paraId="645DFD4C" w14:textId="77777777" w:rsidR="00353A79" w:rsidRDefault="00000000">
      <w:pPr>
        <w:pStyle w:val="Ttulo1"/>
        <w:jc w:val="left"/>
      </w:pPr>
      <w:r>
        <w:lastRenderedPageBreak/>
        <w:t>REFERÊNCIAS</w:t>
      </w:r>
    </w:p>
    <w:p w14:paraId="1C713BC6" w14:textId="77777777" w:rsidR="00B65A65" w:rsidRDefault="00B65A65" w:rsidP="00B65A65">
      <w:pPr>
        <w:ind w:firstLine="0"/>
        <w:rPr>
          <w:rFonts w:cs="Times New Roman"/>
          <w:szCs w:val="24"/>
        </w:rPr>
      </w:pPr>
    </w:p>
    <w:p w14:paraId="090A53CE" w14:textId="77777777" w:rsidR="00304B37" w:rsidRPr="00304B37" w:rsidRDefault="00304B37" w:rsidP="00304B37">
      <w:pPr>
        <w:ind w:firstLine="0"/>
        <w:rPr>
          <w:rFonts w:cs="Times New Roman"/>
          <w:szCs w:val="24"/>
        </w:rPr>
      </w:pPr>
      <w:r w:rsidRPr="00304B37">
        <w:rPr>
          <w:rFonts w:cs="Times New Roman"/>
          <w:szCs w:val="24"/>
        </w:rPr>
        <w:t>ANTHIAS, Floya. Intersectional what? Social divisions, intersectionality and levels of analysis. Ethnicities, v. 13, n. 1, p. 3–19, 2013.</w:t>
      </w:r>
    </w:p>
    <w:p w14:paraId="6C3DAA66" w14:textId="77777777" w:rsidR="00304B37" w:rsidRPr="00304B37" w:rsidRDefault="00304B37" w:rsidP="00304B37">
      <w:pPr>
        <w:ind w:firstLine="0"/>
        <w:rPr>
          <w:rFonts w:cs="Times New Roman"/>
          <w:szCs w:val="24"/>
        </w:rPr>
      </w:pPr>
      <w:r w:rsidRPr="00304B37">
        <w:rPr>
          <w:rFonts w:cs="Times New Roman"/>
          <w:szCs w:val="24"/>
        </w:rPr>
        <w:t>ARANGO, Joaquín. Explaining Migration: A Critical View. International Social Science Journal, v. 52, n. 165, p. 283–296, 2000.</w:t>
      </w:r>
    </w:p>
    <w:p w14:paraId="14BEFD79" w14:textId="77777777" w:rsidR="00304B37" w:rsidRPr="00304B37" w:rsidRDefault="00304B37" w:rsidP="00304B37">
      <w:pPr>
        <w:ind w:firstLine="0"/>
        <w:rPr>
          <w:rFonts w:cs="Times New Roman"/>
          <w:szCs w:val="24"/>
        </w:rPr>
      </w:pPr>
      <w:r w:rsidRPr="00304B37">
        <w:rPr>
          <w:rFonts w:cs="Times New Roman"/>
          <w:szCs w:val="24"/>
        </w:rPr>
        <w:t>BAENINGER, Rosana. Migrações internas no Brasil: os desafios da mobilidade populacional. Campinas: NEPO/UNICAMP, 2002.</w:t>
      </w:r>
    </w:p>
    <w:p w14:paraId="7E0ECC84" w14:textId="77777777" w:rsidR="00304B37" w:rsidRPr="00304B37" w:rsidRDefault="00304B37" w:rsidP="00304B37">
      <w:pPr>
        <w:ind w:firstLine="0"/>
        <w:rPr>
          <w:rFonts w:cs="Times New Roman"/>
          <w:szCs w:val="24"/>
        </w:rPr>
      </w:pPr>
      <w:r w:rsidRPr="00304B37">
        <w:rPr>
          <w:rFonts w:cs="Times New Roman"/>
          <w:szCs w:val="24"/>
        </w:rPr>
        <w:t>BECKER, Howard. Outsiders: estudos de sociologia do desvio. Rio de Janeiro: Jorge Zahar Editor, 2008.</w:t>
      </w:r>
    </w:p>
    <w:p w14:paraId="18C8E1AF" w14:textId="77777777" w:rsidR="00304B37" w:rsidRPr="00304B37" w:rsidRDefault="00304B37" w:rsidP="00304B37">
      <w:pPr>
        <w:ind w:firstLine="0"/>
        <w:rPr>
          <w:rFonts w:cs="Times New Roman"/>
          <w:szCs w:val="24"/>
        </w:rPr>
      </w:pPr>
      <w:r w:rsidRPr="00304B37">
        <w:rPr>
          <w:rFonts w:cs="Times New Roman"/>
          <w:szCs w:val="24"/>
        </w:rPr>
        <w:t>BRITO, Fausto. Migração interna no Brasil: tendências recentes. Revista Brasileira de Estudos de População, v. 19, n. 1, p. 147–164, 2002.</w:t>
      </w:r>
    </w:p>
    <w:p w14:paraId="6D86C89E" w14:textId="77777777" w:rsidR="00304B37" w:rsidRPr="00304B37" w:rsidRDefault="00304B37" w:rsidP="00304B37">
      <w:pPr>
        <w:ind w:firstLine="0"/>
        <w:rPr>
          <w:rFonts w:cs="Times New Roman"/>
          <w:szCs w:val="24"/>
        </w:rPr>
      </w:pPr>
      <w:r w:rsidRPr="00304B37">
        <w:rPr>
          <w:rFonts w:cs="Times New Roman"/>
          <w:szCs w:val="24"/>
        </w:rPr>
        <w:t>BUTLER, Judith. Quadros de guerra: quando a vida é passível de luto? São Paulo: Civilização Brasileira, 2015.</w:t>
      </w:r>
    </w:p>
    <w:p w14:paraId="66CB51A1" w14:textId="77777777" w:rsidR="00304B37" w:rsidRPr="00304B37" w:rsidRDefault="00304B37" w:rsidP="00304B37">
      <w:pPr>
        <w:ind w:firstLine="0"/>
        <w:rPr>
          <w:rFonts w:cs="Times New Roman"/>
          <w:szCs w:val="24"/>
        </w:rPr>
      </w:pPr>
      <w:r w:rsidRPr="00304B37">
        <w:rPr>
          <w:rFonts w:cs="Times New Roman"/>
          <w:szCs w:val="24"/>
        </w:rPr>
        <w:t>BUTLER, Judith. Undoing Gender. New York: Routledge, 2004.</w:t>
      </w:r>
    </w:p>
    <w:p w14:paraId="21076DA0" w14:textId="77777777" w:rsidR="00304B37" w:rsidRPr="00304B37" w:rsidRDefault="00304B37" w:rsidP="00304B37">
      <w:pPr>
        <w:ind w:firstLine="0"/>
        <w:rPr>
          <w:rFonts w:cs="Times New Roman"/>
          <w:szCs w:val="24"/>
        </w:rPr>
      </w:pPr>
      <w:r w:rsidRPr="00304B37">
        <w:rPr>
          <w:rFonts w:cs="Times New Roman"/>
          <w:szCs w:val="24"/>
        </w:rPr>
        <w:t>CANO, Wilson. Desequilíbrios regionais e concentração industrial no Brasil. Campinas: Unicamp, 1998.</w:t>
      </w:r>
    </w:p>
    <w:p w14:paraId="35054853" w14:textId="77777777" w:rsidR="00304B37" w:rsidRPr="00304B37" w:rsidRDefault="00304B37" w:rsidP="00304B37">
      <w:pPr>
        <w:ind w:firstLine="0"/>
        <w:rPr>
          <w:rFonts w:cs="Times New Roman"/>
          <w:szCs w:val="24"/>
        </w:rPr>
      </w:pPr>
      <w:r w:rsidRPr="00304B37">
        <w:rPr>
          <w:rFonts w:cs="Times New Roman"/>
          <w:szCs w:val="24"/>
        </w:rPr>
        <w:t>CARNEIRO, Sueli. Dispositivo da racialidade: a construção do outro como não ser como fundamento do ser. Rio de Janeiro: Zahar, 2023.</w:t>
      </w:r>
    </w:p>
    <w:p w14:paraId="26B470A5" w14:textId="77777777" w:rsidR="00304B37" w:rsidRPr="00304B37" w:rsidRDefault="00304B37" w:rsidP="00304B37">
      <w:pPr>
        <w:ind w:firstLine="0"/>
        <w:rPr>
          <w:rFonts w:cs="Times New Roman"/>
          <w:szCs w:val="24"/>
        </w:rPr>
      </w:pPr>
      <w:r w:rsidRPr="00304B37">
        <w:rPr>
          <w:rFonts w:cs="Times New Roman"/>
          <w:szCs w:val="24"/>
        </w:rPr>
        <w:t>CHAKRABARTY, Dipesh. La historia subalterna como pensamiento político. In: MEZZADRA, Sandro (org.). Estudios postcoloniales: ensayos fundamentales. Madrid: Traficantes de Sueños, 2008.</w:t>
      </w:r>
    </w:p>
    <w:p w14:paraId="73523145" w14:textId="77777777" w:rsidR="00304B37" w:rsidRPr="00304B37" w:rsidRDefault="00304B37" w:rsidP="00304B37">
      <w:pPr>
        <w:ind w:firstLine="0"/>
        <w:rPr>
          <w:rFonts w:cs="Times New Roman"/>
          <w:szCs w:val="24"/>
        </w:rPr>
      </w:pPr>
      <w:r w:rsidRPr="00304B37">
        <w:rPr>
          <w:rFonts w:cs="Times New Roman"/>
          <w:szCs w:val="24"/>
        </w:rPr>
        <w:t>COLLINS, Patricia Hill. Bem mais que ideias: a interseccionalidade como teoria social crítica. 2. ed. São Paulo: Boitempo, 2022.</w:t>
      </w:r>
    </w:p>
    <w:p w14:paraId="33392146" w14:textId="77777777" w:rsidR="00304B37" w:rsidRPr="00304B37" w:rsidRDefault="00304B37" w:rsidP="00304B37">
      <w:pPr>
        <w:ind w:firstLine="0"/>
        <w:rPr>
          <w:rFonts w:cs="Times New Roman"/>
          <w:szCs w:val="24"/>
        </w:rPr>
      </w:pPr>
      <w:r w:rsidRPr="00304B37">
        <w:rPr>
          <w:rFonts w:cs="Times New Roman"/>
          <w:szCs w:val="24"/>
        </w:rPr>
        <w:t>COSTA, Flávio William S. Os condicionantes do processo migratório de jovens de Igarapé-açu-PA à Blumenau-SC entre 2015 e 2020. Dissertação (Mestrado) — PPGDR/FURB, 2021.</w:t>
      </w:r>
    </w:p>
    <w:p w14:paraId="31BE41FD" w14:textId="77777777" w:rsidR="00304B37" w:rsidRPr="00304B37" w:rsidRDefault="00304B37" w:rsidP="00304B37">
      <w:pPr>
        <w:ind w:firstLine="0"/>
        <w:rPr>
          <w:rFonts w:cs="Times New Roman"/>
          <w:szCs w:val="24"/>
        </w:rPr>
      </w:pPr>
      <w:r w:rsidRPr="00304B37">
        <w:rPr>
          <w:rFonts w:cs="Times New Roman"/>
          <w:szCs w:val="24"/>
        </w:rPr>
        <w:t>CRENSHAW, Kimberlé. Demarginalizing the intersection of race and sex: A Black feminist critique of antidiscrimination doctrine, feminist theory and antiracist politics. University of Chicago Legal Forum, v. 1989, n. 1, p. 139–167, 1989.</w:t>
      </w:r>
    </w:p>
    <w:p w14:paraId="6AF64C4B" w14:textId="77777777" w:rsidR="00304B37" w:rsidRPr="00304B37" w:rsidRDefault="00304B37" w:rsidP="00304B37">
      <w:pPr>
        <w:ind w:firstLine="0"/>
        <w:rPr>
          <w:rFonts w:cs="Times New Roman"/>
          <w:szCs w:val="24"/>
        </w:rPr>
      </w:pPr>
      <w:r w:rsidRPr="00304B37">
        <w:rPr>
          <w:rFonts w:cs="Times New Roman"/>
          <w:szCs w:val="24"/>
        </w:rPr>
        <w:t>DURHAM, Eunice Ribeiro. A caminho da cidade: a vida rural e a migração para São Paulo. São Paulo: Perspectiva, 1973.</w:t>
      </w:r>
    </w:p>
    <w:p w14:paraId="05D9BABB" w14:textId="77777777" w:rsidR="00304B37" w:rsidRPr="00304B37" w:rsidRDefault="00304B37" w:rsidP="00304B37">
      <w:pPr>
        <w:ind w:firstLine="0"/>
        <w:rPr>
          <w:rFonts w:cs="Times New Roman"/>
          <w:szCs w:val="24"/>
        </w:rPr>
      </w:pPr>
      <w:r w:rsidRPr="00304B37">
        <w:rPr>
          <w:rFonts w:cs="Times New Roman"/>
          <w:szCs w:val="24"/>
        </w:rPr>
        <w:lastRenderedPageBreak/>
        <w:t>FOUCAULT, Michel. Em defesa da sociedade: curso no Collège de France (1975–1976). 2. ed. São Paulo: WMF Martins Fontes, 2010.</w:t>
      </w:r>
    </w:p>
    <w:p w14:paraId="0CDD578D" w14:textId="77777777" w:rsidR="00304B37" w:rsidRPr="00304B37" w:rsidRDefault="00304B37" w:rsidP="00304B37">
      <w:pPr>
        <w:ind w:firstLine="0"/>
        <w:rPr>
          <w:rFonts w:cs="Times New Roman"/>
          <w:szCs w:val="24"/>
        </w:rPr>
      </w:pPr>
      <w:r w:rsidRPr="00304B37">
        <w:rPr>
          <w:rFonts w:cs="Times New Roman"/>
          <w:szCs w:val="24"/>
        </w:rPr>
        <w:t>FOUCAULT, Michel. A governamentalidade. In: ______. Microfísica do poder. 11. ed. São Paulo/Rio de Janeiro: Paz &amp; Terra, 2021. p. 407–431.</w:t>
      </w:r>
    </w:p>
    <w:p w14:paraId="227477DE" w14:textId="77777777" w:rsidR="00304B37" w:rsidRPr="00304B37" w:rsidRDefault="00304B37" w:rsidP="00304B37">
      <w:pPr>
        <w:ind w:firstLine="0"/>
        <w:rPr>
          <w:rFonts w:cs="Times New Roman"/>
          <w:szCs w:val="24"/>
        </w:rPr>
      </w:pPr>
      <w:r w:rsidRPr="00304B37">
        <w:rPr>
          <w:rFonts w:cs="Times New Roman"/>
          <w:szCs w:val="24"/>
        </w:rPr>
        <w:t>GARFINKEL, Harold. Passagem e gerenciamento do status sexual em uma pessoa “intersexuada”. In: ______. Estudos de etnometodologia. Rio de Janeiro: Vozes, 2018.</w:t>
      </w:r>
    </w:p>
    <w:p w14:paraId="6927499A" w14:textId="77777777" w:rsidR="00304B37" w:rsidRPr="00304B37" w:rsidRDefault="00304B37" w:rsidP="00304B37">
      <w:pPr>
        <w:ind w:firstLine="0"/>
        <w:rPr>
          <w:rFonts w:cs="Times New Roman"/>
          <w:szCs w:val="24"/>
        </w:rPr>
      </w:pPr>
      <w:r w:rsidRPr="00304B37">
        <w:rPr>
          <w:rFonts w:cs="Times New Roman"/>
          <w:szCs w:val="24"/>
        </w:rPr>
        <w:t>GEERTZ, Clifford. The interpretation of cultures. New York: Basic Books, 1973.</w:t>
      </w:r>
    </w:p>
    <w:p w14:paraId="233F7D80" w14:textId="77777777" w:rsidR="00304B37" w:rsidRPr="00304B37" w:rsidRDefault="00304B37" w:rsidP="00304B37">
      <w:pPr>
        <w:ind w:firstLine="0"/>
        <w:rPr>
          <w:rFonts w:cs="Times New Roman"/>
          <w:szCs w:val="24"/>
        </w:rPr>
      </w:pPr>
      <w:r w:rsidRPr="00304B37">
        <w:rPr>
          <w:rFonts w:cs="Times New Roman"/>
          <w:szCs w:val="24"/>
        </w:rPr>
        <w:t>GOFFMAN, Erving. A representação do eu na vida cotidiana. 11. ed. Petrópolis: Vozes, 2003.</w:t>
      </w:r>
    </w:p>
    <w:p w14:paraId="55BE6832" w14:textId="77777777" w:rsidR="00304B37" w:rsidRPr="00304B37" w:rsidRDefault="00304B37" w:rsidP="00304B37">
      <w:pPr>
        <w:ind w:firstLine="0"/>
        <w:rPr>
          <w:rFonts w:cs="Times New Roman"/>
          <w:szCs w:val="24"/>
        </w:rPr>
      </w:pPr>
      <w:r w:rsidRPr="00304B37">
        <w:rPr>
          <w:rFonts w:cs="Times New Roman"/>
          <w:szCs w:val="24"/>
        </w:rPr>
        <w:t>GONZALEZ, Lélia. Racismo e sexismo na cultura brasileira. In: LUZ, Madel (org.). O Lugar da Mulher: estudos sobre a condição feminina na sociedade atual. Rio de Janeiro: Graal, 1988. p. 9–23.</w:t>
      </w:r>
    </w:p>
    <w:p w14:paraId="04B0380F" w14:textId="77777777" w:rsidR="00304B37" w:rsidRPr="00304B37" w:rsidRDefault="00304B37" w:rsidP="00304B37">
      <w:pPr>
        <w:ind w:firstLine="0"/>
        <w:rPr>
          <w:rFonts w:cs="Times New Roman"/>
          <w:szCs w:val="24"/>
        </w:rPr>
      </w:pPr>
      <w:r w:rsidRPr="00304B37">
        <w:rPr>
          <w:rFonts w:cs="Times New Roman"/>
          <w:szCs w:val="24"/>
        </w:rPr>
        <w:t>GUIMARÃES, Antonio Sérgio Alfredo. Classes, raças e democracia. São Paulo: Editora 34, 2002.</w:t>
      </w:r>
    </w:p>
    <w:p w14:paraId="77634E85" w14:textId="77777777" w:rsidR="00304B37" w:rsidRPr="00304B37" w:rsidRDefault="00304B37" w:rsidP="00304B37">
      <w:pPr>
        <w:ind w:firstLine="0"/>
        <w:rPr>
          <w:rFonts w:cs="Times New Roman"/>
          <w:szCs w:val="24"/>
        </w:rPr>
      </w:pPr>
      <w:r w:rsidRPr="00304B37">
        <w:rPr>
          <w:rFonts w:cs="Times New Roman"/>
          <w:szCs w:val="24"/>
        </w:rPr>
        <w:t>HALL, Stuart. A identidade cultural na pós-modernidade. Rio de Janeiro: DP&amp;A, 2003.</w:t>
      </w:r>
    </w:p>
    <w:p w14:paraId="37C83190" w14:textId="77777777" w:rsidR="00304B37" w:rsidRPr="00304B37" w:rsidRDefault="00304B37" w:rsidP="00304B37">
      <w:pPr>
        <w:ind w:firstLine="0"/>
        <w:rPr>
          <w:rFonts w:cs="Times New Roman"/>
          <w:szCs w:val="24"/>
        </w:rPr>
      </w:pPr>
      <w:r w:rsidRPr="00304B37">
        <w:rPr>
          <w:rFonts w:cs="Times New Roman"/>
          <w:szCs w:val="24"/>
        </w:rPr>
        <w:t>HASENBALG, Carlos. Discriminação e desigualdades raciais no Brasil. Rio de Janeiro: Graal, 1979.</w:t>
      </w:r>
    </w:p>
    <w:p w14:paraId="162234DC" w14:textId="77777777" w:rsidR="00304B37" w:rsidRPr="00304B37" w:rsidRDefault="00304B37" w:rsidP="00304B37">
      <w:pPr>
        <w:ind w:firstLine="0"/>
        <w:rPr>
          <w:rFonts w:cs="Times New Roman"/>
          <w:szCs w:val="24"/>
        </w:rPr>
      </w:pPr>
      <w:r w:rsidRPr="00304B37">
        <w:rPr>
          <w:rFonts w:cs="Times New Roman"/>
          <w:szCs w:val="24"/>
        </w:rPr>
        <w:t>IOSIFIDES, Theodoros. Qualitative methods in migration studies: a critical realist perspective. Farnham: Ashgate, 2011.</w:t>
      </w:r>
    </w:p>
    <w:p w14:paraId="3952A3B4" w14:textId="77777777" w:rsidR="00304B37" w:rsidRPr="00304B37" w:rsidRDefault="00304B37" w:rsidP="00304B37">
      <w:pPr>
        <w:ind w:firstLine="0"/>
        <w:rPr>
          <w:rFonts w:cs="Times New Roman"/>
          <w:szCs w:val="24"/>
        </w:rPr>
      </w:pPr>
      <w:r w:rsidRPr="00304B37">
        <w:rPr>
          <w:rFonts w:cs="Times New Roman"/>
          <w:szCs w:val="24"/>
        </w:rPr>
        <w:t>LÖWY, Michael. O conceito de desenvolvimento desigual e combinado. Revista Crítica de Ciências Sociais, n. 5, p. 5–15, 1980.</w:t>
      </w:r>
    </w:p>
    <w:p w14:paraId="325F0AAE" w14:textId="77777777" w:rsidR="00304B37" w:rsidRPr="00304B37" w:rsidRDefault="00304B37" w:rsidP="00304B37">
      <w:pPr>
        <w:ind w:firstLine="0"/>
        <w:rPr>
          <w:rFonts w:cs="Times New Roman"/>
          <w:szCs w:val="24"/>
        </w:rPr>
      </w:pPr>
      <w:r w:rsidRPr="00304B37">
        <w:rPr>
          <w:rFonts w:cs="Times New Roman"/>
          <w:szCs w:val="24"/>
        </w:rPr>
        <w:t>MALDONADO-TORRES, Nelson. Analítica da colonialidade e da decolonialidade: algumas dimensões básicas. In: BERNARDINO-COSTA, Joaze; MALDONADO-TORRES, Nelson; GROSFOGUEL, Ramón. Decolonialidade e pensamento afrodiaspórico. 2. ed. Belo Horizonte: Autêntica, 2024.</w:t>
      </w:r>
    </w:p>
    <w:p w14:paraId="03298A55" w14:textId="77777777" w:rsidR="00304B37" w:rsidRPr="00304B37" w:rsidRDefault="00304B37" w:rsidP="00304B37">
      <w:pPr>
        <w:ind w:firstLine="0"/>
        <w:rPr>
          <w:rFonts w:cs="Times New Roman"/>
          <w:szCs w:val="24"/>
        </w:rPr>
      </w:pPr>
      <w:r w:rsidRPr="00304B37">
        <w:rPr>
          <w:rFonts w:cs="Times New Roman"/>
          <w:szCs w:val="24"/>
        </w:rPr>
        <w:t>MARTINE, George. A redistribuição espacial da população brasileira durante a década de 80. Brasília: IPEA, 1987.</w:t>
      </w:r>
    </w:p>
    <w:p w14:paraId="6BAC9F8A" w14:textId="77777777" w:rsidR="00304B37" w:rsidRPr="00304B37" w:rsidRDefault="00304B37" w:rsidP="00304B37">
      <w:pPr>
        <w:ind w:firstLine="0"/>
        <w:rPr>
          <w:rFonts w:cs="Times New Roman"/>
          <w:szCs w:val="24"/>
        </w:rPr>
      </w:pPr>
      <w:r w:rsidRPr="00304B37">
        <w:rPr>
          <w:rFonts w:cs="Times New Roman"/>
          <w:szCs w:val="24"/>
        </w:rPr>
        <w:t>MASSEY, Douglas S. et al. Theories of International Migration: A Review and Appraisal. Population and Development Review, v. 19, n. 3, p. 431–466, 1993.</w:t>
      </w:r>
    </w:p>
    <w:p w14:paraId="587167F8" w14:textId="77777777" w:rsidR="00304B37" w:rsidRPr="00304B37" w:rsidRDefault="00304B37" w:rsidP="00304B37">
      <w:pPr>
        <w:ind w:firstLine="0"/>
        <w:rPr>
          <w:rFonts w:cs="Times New Roman"/>
          <w:szCs w:val="24"/>
        </w:rPr>
      </w:pPr>
      <w:r w:rsidRPr="00304B37">
        <w:rPr>
          <w:rFonts w:cs="Times New Roman"/>
          <w:szCs w:val="24"/>
        </w:rPr>
        <w:t>MBEMBE, Achille. Necropolítica: biopoder, soberania, estado de exceção, política da morte. São Paulo: n-1 edições, 2018.</w:t>
      </w:r>
    </w:p>
    <w:p w14:paraId="11AE8929" w14:textId="77777777" w:rsidR="00304B37" w:rsidRPr="00304B37" w:rsidRDefault="00304B37" w:rsidP="00304B37">
      <w:pPr>
        <w:ind w:firstLine="0"/>
        <w:rPr>
          <w:rFonts w:cs="Times New Roman"/>
          <w:szCs w:val="24"/>
        </w:rPr>
      </w:pPr>
      <w:r w:rsidRPr="00304B37">
        <w:rPr>
          <w:rFonts w:cs="Times New Roman"/>
          <w:szCs w:val="24"/>
        </w:rPr>
        <w:t>MENARD, Scott. Longitudinal research. 2. ed. Thousand Oaks: Sage, 2002.</w:t>
      </w:r>
    </w:p>
    <w:p w14:paraId="6FD0AB3B" w14:textId="77777777" w:rsidR="00304B37" w:rsidRPr="00304B37" w:rsidRDefault="00304B37" w:rsidP="00304B37">
      <w:pPr>
        <w:ind w:firstLine="0"/>
        <w:rPr>
          <w:rFonts w:cs="Times New Roman"/>
          <w:szCs w:val="24"/>
        </w:rPr>
      </w:pPr>
      <w:r w:rsidRPr="00304B37">
        <w:rPr>
          <w:rFonts w:cs="Times New Roman"/>
          <w:szCs w:val="24"/>
        </w:rPr>
        <w:lastRenderedPageBreak/>
        <w:t>PIERUCCI, Antonio Flávio. Ciladas da diferença. São Paulo: Editora 34, 1999.</w:t>
      </w:r>
    </w:p>
    <w:p w14:paraId="3345DF42" w14:textId="77777777" w:rsidR="00304B37" w:rsidRPr="00304B37" w:rsidRDefault="00304B37" w:rsidP="00304B37">
      <w:pPr>
        <w:ind w:firstLine="0"/>
        <w:rPr>
          <w:rFonts w:cs="Times New Roman"/>
          <w:szCs w:val="24"/>
        </w:rPr>
      </w:pPr>
      <w:r w:rsidRPr="00304B37">
        <w:rPr>
          <w:rFonts w:cs="Times New Roman"/>
          <w:szCs w:val="24"/>
        </w:rPr>
        <w:t>RAGIN, Charles. The comparative method: moving beyond qualitative and quantitative strategies. Berkeley: University of California Press, 1987.</w:t>
      </w:r>
    </w:p>
    <w:p w14:paraId="1A92C550" w14:textId="77777777" w:rsidR="00304B37" w:rsidRPr="00304B37" w:rsidRDefault="00304B37" w:rsidP="00304B37">
      <w:pPr>
        <w:ind w:firstLine="0"/>
        <w:rPr>
          <w:rFonts w:cs="Times New Roman"/>
          <w:szCs w:val="24"/>
        </w:rPr>
      </w:pPr>
      <w:r w:rsidRPr="00304B37">
        <w:rPr>
          <w:rFonts w:cs="Times New Roman"/>
          <w:szCs w:val="24"/>
        </w:rPr>
        <w:t>RAVENSTEIN, Ernst G. The Laws of Migration. Journal of the Statistical Society of London, v. 48, n. 2, p. 167–235, 1885.</w:t>
      </w:r>
    </w:p>
    <w:p w14:paraId="0BA85BD7" w14:textId="77777777" w:rsidR="00304B37" w:rsidRPr="00304B37" w:rsidRDefault="00304B37" w:rsidP="00304B37">
      <w:pPr>
        <w:ind w:firstLine="0"/>
        <w:rPr>
          <w:rFonts w:cs="Times New Roman"/>
          <w:szCs w:val="24"/>
        </w:rPr>
      </w:pPr>
      <w:r w:rsidRPr="00304B37">
        <w:rPr>
          <w:rFonts w:cs="Times New Roman"/>
          <w:szCs w:val="24"/>
        </w:rPr>
        <w:t>SANTOS, Milton. A natureza do espaço: técnica e tempo, razão e emoção. 4. ed. São Paulo: Edusp, 2006.</w:t>
      </w:r>
    </w:p>
    <w:p w14:paraId="54D80F69" w14:textId="77777777" w:rsidR="00304B37" w:rsidRPr="00304B37" w:rsidRDefault="00304B37" w:rsidP="00304B37">
      <w:pPr>
        <w:ind w:firstLine="0"/>
        <w:rPr>
          <w:rFonts w:cs="Times New Roman"/>
          <w:szCs w:val="24"/>
        </w:rPr>
      </w:pPr>
      <w:r w:rsidRPr="00304B37">
        <w:rPr>
          <w:rFonts w:cs="Times New Roman"/>
          <w:szCs w:val="24"/>
        </w:rPr>
        <w:t>SASSEN, Saskia. Women’s burden: Migration and gender in an age of globalization. Journal of International Affairs, v. 53, n. 2, p. 503–524, 2000.</w:t>
      </w:r>
    </w:p>
    <w:p w14:paraId="7FD413D8" w14:textId="77777777" w:rsidR="00304B37" w:rsidRPr="00304B37" w:rsidRDefault="00304B37" w:rsidP="00304B37">
      <w:pPr>
        <w:ind w:firstLine="0"/>
        <w:rPr>
          <w:rFonts w:cs="Times New Roman"/>
          <w:szCs w:val="24"/>
        </w:rPr>
      </w:pPr>
      <w:r w:rsidRPr="00304B37">
        <w:rPr>
          <w:rFonts w:cs="Times New Roman"/>
          <w:szCs w:val="24"/>
        </w:rPr>
        <w:t>SEGATO, Rita. Crítica da colonialidade em oito ensaios e uma antropologia por demanda. Rio de Janeiro: Bazar do Tempo, 2021.</w:t>
      </w:r>
    </w:p>
    <w:p w14:paraId="060A4A78" w14:textId="77777777" w:rsidR="00304B37" w:rsidRPr="00304B37" w:rsidRDefault="00304B37" w:rsidP="00304B37">
      <w:pPr>
        <w:ind w:firstLine="0"/>
        <w:rPr>
          <w:rFonts w:cs="Times New Roman"/>
          <w:szCs w:val="24"/>
        </w:rPr>
      </w:pPr>
      <w:r w:rsidRPr="00304B37">
        <w:rPr>
          <w:rFonts w:cs="Times New Roman"/>
          <w:szCs w:val="24"/>
        </w:rPr>
        <w:t>SAFFIOTI, Heleieth I. B. Gênero, patriarcado, violência. São Paulo: Expressão Popular, 2015.</w:t>
      </w:r>
    </w:p>
    <w:p w14:paraId="53D7A0F4" w14:textId="77777777" w:rsidR="00304B37" w:rsidRPr="00304B37" w:rsidRDefault="00304B37" w:rsidP="00304B37">
      <w:pPr>
        <w:ind w:firstLine="0"/>
        <w:rPr>
          <w:rFonts w:cs="Times New Roman"/>
          <w:szCs w:val="24"/>
        </w:rPr>
      </w:pPr>
      <w:r w:rsidRPr="00304B37">
        <w:rPr>
          <w:rFonts w:cs="Times New Roman"/>
          <w:szCs w:val="24"/>
        </w:rPr>
        <w:t>SINGER, Paul. Migrações internas no Brasil: tendências e perspectivas. São Paulo: Cebrap, 1973.</w:t>
      </w:r>
    </w:p>
    <w:p w14:paraId="124695CC" w14:textId="77777777" w:rsidR="00304B37" w:rsidRPr="00304B37" w:rsidRDefault="00304B37" w:rsidP="00304B37">
      <w:pPr>
        <w:ind w:firstLine="0"/>
        <w:rPr>
          <w:rFonts w:cs="Times New Roman"/>
          <w:szCs w:val="24"/>
        </w:rPr>
      </w:pPr>
      <w:r w:rsidRPr="00304B37">
        <w:rPr>
          <w:rFonts w:cs="Times New Roman"/>
          <w:szCs w:val="24"/>
        </w:rPr>
        <w:t>SINGER, Paul. Economia política da urbanização. São Paulo: Brasiliense, 1980.</w:t>
      </w:r>
    </w:p>
    <w:p w14:paraId="38ED6ED4" w14:textId="77777777" w:rsidR="00304B37" w:rsidRPr="00304B37" w:rsidRDefault="00304B37" w:rsidP="00304B37">
      <w:pPr>
        <w:ind w:firstLine="0"/>
        <w:rPr>
          <w:rFonts w:cs="Times New Roman"/>
          <w:szCs w:val="24"/>
        </w:rPr>
      </w:pPr>
      <w:r w:rsidRPr="00304B37">
        <w:rPr>
          <w:rFonts w:cs="Times New Roman"/>
          <w:szCs w:val="24"/>
        </w:rPr>
        <w:t>SIQUEIRA, Sônia Maria. Redes sociais e migração: vínculos, trajetórias e inserção urbana. Cadernos Metrópole, v. 14, n. 27, p. 199–220, 2012.</w:t>
      </w:r>
    </w:p>
    <w:p w14:paraId="07C18BF1" w14:textId="77777777" w:rsidR="00304B37" w:rsidRPr="00304B37" w:rsidRDefault="00304B37" w:rsidP="00304B37">
      <w:pPr>
        <w:ind w:firstLine="0"/>
        <w:rPr>
          <w:rFonts w:cs="Times New Roman"/>
          <w:szCs w:val="24"/>
        </w:rPr>
      </w:pPr>
      <w:r w:rsidRPr="00304B37">
        <w:rPr>
          <w:rFonts w:cs="Times New Roman"/>
          <w:szCs w:val="24"/>
        </w:rPr>
        <w:t>SPIVAK, Gayatri Chakravorty. Can the subaltern speak? In: NELSON, Cary; GROSSBERG, Lawrence (org.). Marxism and the Interpretation of Culture. Urbana: University of Illinois Press, 1988. p. 271–313.</w:t>
      </w:r>
    </w:p>
    <w:p w14:paraId="2722569F" w14:textId="77777777" w:rsidR="00304B37" w:rsidRPr="00304B37" w:rsidRDefault="00304B37" w:rsidP="00304B37">
      <w:pPr>
        <w:ind w:firstLine="0"/>
        <w:rPr>
          <w:rFonts w:cs="Times New Roman"/>
          <w:szCs w:val="24"/>
        </w:rPr>
      </w:pPr>
      <w:r w:rsidRPr="00304B37">
        <w:rPr>
          <w:rFonts w:cs="Times New Roman"/>
          <w:szCs w:val="24"/>
        </w:rPr>
        <w:t>SPIVAK, Gayatri. Estudios de la subalternidad: descontruyendo la historiografía. In: MEZZADRA, Sandro (org.). Estudios postcoloniales: ensayos fundamentales. Madrid: Traficantes de Sueños, 2008.</w:t>
      </w:r>
    </w:p>
    <w:p w14:paraId="6B61E2D5" w14:textId="77777777" w:rsidR="00304B37" w:rsidRPr="00304B37" w:rsidRDefault="00304B37" w:rsidP="00304B37">
      <w:pPr>
        <w:ind w:firstLine="0"/>
        <w:rPr>
          <w:rFonts w:cs="Times New Roman"/>
          <w:szCs w:val="24"/>
        </w:rPr>
      </w:pPr>
      <w:r w:rsidRPr="00304B37">
        <w:rPr>
          <w:rFonts w:cs="Times New Roman"/>
          <w:szCs w:val="24"/>
        </w:rPr>
        <w:t>STONE, Lawrence. Prosopography. Daedalus, v. 100, n. 1, p. 46–79, 1971.</w:t>
      </w:r>
    </w:p>
    <w:p w14:paraId="2547F3C0" w14:textId="77777777" w:rsidR="00304B37" w:rsidRPr="00304B37" w:rsidRDefault="00304B37" w:rsidP="00304B37">
      <w:pPr>
        <w:ind w:firstLine="0"/>
        <w:rPr>
          <w:rFonts w:cs="Times New Roman"/>
          <w:szCs w:val="24"/>
        </w:rPr>
      </w:pPr>
      <w:r w:rsidRPr="00304B37">
        <w:rPr>
          <w:rFonts w:cs="Times New Roman"/>
          <w:szCs w:val="24"/>
        </w:rPr>
        <w:t>TILLY, Charles. Big structures, large processes, huge comparisons. New York: Russell Sage Foundation, 1984.</w:t>
      </w:r>
    </w:p>
    <w:p w14:paraId="0561E9B8" w14:textId="563719F0" w:rsidR="00B65A65" w:rsidRDefault="00304B37" w:rsidP="00304B37">
      <w:pPr>
        <w:ind w:firstLine="0"/>
        <w:rPr>
          <w:rFonts w:cs="Times New Roman"/>
          <w:szCs w:val="24"/>
        </w:rPr>
      </w:pPr>
      <w:r w:rsidRPr="00304B37">
        <w:rPr>
          <w:rFonts w:cs="Times New Roman"/>
          <w:szCs w:val="24"/>
        </w:rPr>
        <w:t>UFPR — Universidade Federal do Paraná. Estudos sobre migrações internas no Brasil: relatórios e publicações do Programa de Pós-Graduação em Sociologia. Curitiba: UFPR, 2015–2022.</w:t>
      </w:r>
      <w:r>
        <w:rPr>
          <w:rFonts w:cs="Times New Roman"/>
          <w:szCs w:val="24"/>
        </w:rPr>
        <w:t xml:space="preserve"> </w:t>
      </w:r>
    </w:p>
    <w:sectPr w:rsidR="00B65A65">
      <w:headerReference w:type="default" r:id="rId8"/>
      <w:headerReference w:type="first" r:id="rId9"/>
      <w:pgSz w:w="11906" w:h="16838"/>
      <w:pgMar w:top="2835" w:right="1134" w:bottom="1134" w:left="1701" w:header="1701" w:footer="0" w:gutter="0"/>
      <w:pgNumType w:start="1"/>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54B02" w14:textId="77777777" w:rsidR="0009397D" w:rsidRDefault="0009397D">
      <w:pPr>
        <w:spacing w:line="240" w:lineRule="auto"/>
      </w:pPr>
      <w:r>
        <w:separator/>
      </w:r>
    </w:p>
  </w:endnote>
  <w:endnote w:type="continuationSeparator" w:id="0">
    <w:p w14:paraId="5D205A51" w14:textId="77777777" w:rsidR="0009397D" w:rsidRDefault="000939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0000000000000000000"/>
    <w:charset w:val="00"/>
    <w:family w:val="roman"/>
    <w:notTrueType/>
    <w:pitch w:val="default"/>
  </w:font>
  <w:font w:name="Lucida Sans">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8970" w14:textId="77777777" w:rsidR="0009397D" w:rsidRDefault="0009397D">
      <w:pPr>
        <w:rPr>
          <w:sz w:val="12"/>
        </w:rPr>
      </w:pPr>
      <w:r>
        <w:separator/>
      </w:r>
    </w:p>
  </w:footnote>
  <w:footnote w:type="continuationSeparator" w:id="0">
    <w:p w14:paraId="61801533" w14:textId="77777777" w:rsidR="0009397D" w:rsidRDefault="0009397D">
      <w:pPr>
        <w:rPr>
          <w:sz w:val="12"/>
        </w:rPr>
      </w:pPr>
      <w:r>
        <w:continuationSeparator/>
      </w:r>
    </w:p>
  </w:footnote>
  <w:footnote w:id="1">
    <w:p w14:paraId="66D8E448" w14:textId="2C8D1163" w:rsidR="00353A79" w:rsidRDefault="00000000">
      <w:pPr>
        <w:pStyle w:val="Textodenotaderodap"/>
      </w:pPr>
      <w:r>
        <w:rPr>
          <w:rStyle w:val="FootnoteCharacters1"/>
        </w:rPr>
        <w:footnoteRef/>
      </w:r>
      <w:r>
        <w:t xml:space="preserve"> </w:t>
      </w:r>
      <w:r w:rsidR="00B2174A">
        <w:t>Doutorando em sociologia – UFPR</w:t>
      </w:r>
      <w:r>
        <w:t xml:space="preserve">, </w:t>
      </w:r>
      <w:r w:rsidR="00B2174A">
        <w:t>professor de sociologia do Estado Pará – flavio.william@hotmail.com</w:t>
      </w:r>
    </w:p>
  </w:footnote>
  <w:footnote w:id="2">
    <w:p w14:paraId="653C4CA1" w14:textId="53DA624B" w:rsidR="003B1018" w:rsidRDefault="003B1018" w:rsidP="003B1018">
      <w:pPr>
        <w:pStyle w:val="Textodenotaderodap"/>
      </w:pPr>
      <w:r>
        <w:rPr>
          <w:rStyle w:val="Refdenotaderodap"/>
        </w:rPr>
        <w:footnoteRef/>
      </w:r>
      <w:r>
        <w:t xml:space="preserve"> Michel Foucault, Segurança, Território, População (2008) e História da Sexualidade: A Vontade de Saber (1988); Judith Butler, Quadros de Guerra: Quando a Vida é Passível de Luto? (2015); Achille Mbembe, Necropolítica (2018); Avtar Brah, Cartografias de Diáspora: Identidades em Questão (2006); Gayatri Chakravorty Spivak, Pode o Subalterno Falar? (2010).</w:t>
      </w:r>
    </w:p>
  </w:footnote>
  <w:footnote w:id="3">
    <w:p w14:paraId="318D771D" w14:textId="632D36FF" w:rsidR="00544442" w:rsidRDefault="00544442">
      <w:pPr>
        <w:pStyle w:val="Textodenotaderodap"/>
      </w:pPr>
      <w:r>
        <w:rPr>
          <w:rStyle w:val="Refdenotaderodap"/>
        </w:rPr>
        <w:footnoteRef/>
      </w:r>
      <w:r>
        <w:t xml:space="preserve"> </w:t>
      </w:r>
      <w:r w:rsidRPr="00544442">
        <w:t>Paul Singer, Economia Política da Urbanização (1973); George Martine, A Urbanização no Brasil (1994).</w:t>
      </w:r>
    </w:p>
    <w:p w14:paraId="1C073D5F" w14:textId="77777777" w:rsidR="00544442" w:rsidRDefault="00544442">
      <w:pPr>
        <w:pStyle w:val="Textodenotaderodap"/>
      </w:pPr>
    </w:p>
  </w:footnote>
  <w:footnote w:id="4">
    <w:p w14:paraId="13C35276" w14:textId="374C9698" w:rsidR="009F493E" w:rsidRDefault="009F493E">
      <w:pPr>
        <w:pStyle w:val="Textodenotaderodap"/>
      </w:pPr>
      <w:r>
        <w:rPr>
          <w:rStyle w:val="Refdenotaderodap"/>
        </w:rPr>
        <w:footnoteRef/>
      </w:r>
      <w:r>
        <w:t xml:space="preserve"> </w:t>
      </w:r>
      <w:r w:rsidRPr="009F493E">
        <w:t>Fausto Brito, Migração Interna no Brasil: Tendências Recentes (2009); Rosana Baeninger, Migrações Internas no Brasil Contemporâneo (2012).</w:t>
      </w:r>
      <w:r>
        <w:t xml:space="preserve"> </w:t>
      </w:r>
    </w:p>
  </w:footnote>
  <w:footnote w:id="5">
    <w:p w14:paraId="3250F9C5" w14:textId="0B97CC00" w:rsidR="00FC1334" w:rsidRDefault="00FC1334">
      <w:pPr>
        <w:pStyle w:val="Textodenotaderodap"/>
      </w:pPr>
      <w:r>
        <w:rPr>
          <w:rStyle w:val="Refdenotaderodap"/>
        </w:rPr>
        <w:footnoteRef/>
      </w:r>
      <w:r>
        <w:t xml:space="preserve"> </w:t>
      </w:r>
      <w:r w:rsidRPr="00FC1334">
        <w:t>Wilson Cano, Raízes da Concentração Industrial em São Paulo (1977).</w:t>
      </w:r>
      <w:r>
        <w:t xml:space="preserve"> </w:t>
      </w:r>
    </w:p>
  </w:footnote>
  <w:footnote w:id="6">
    <w:p w14:paraId="462A13F4" w14:textId="21D959A8" w:rsidR="00A440D6" w:rsidRDefault="00A440D6">
      <w:pPr>
        <w:pStyle w:val="Textodenotaderodap"/>
      </w:pPr>
      <w:r>
        <w:rPr>
          <w:rStyle w:val="Refdenotaderodap"/>
        </w:rPr>
        <w:footnoteRef/>
      </w:r>
      <w:r>
        <w:t xml:space="preserve"> </w:t>
      </w:r>
      <w:r w:rsidRPr="00A440D6">
        <w:t>Milton Santos, A Natureza do Espaço (2002).</w:t>
      </w:r>
      <w:r>
        <w:t xml:space="preserve"> </w:t>
      </w:r>
    </w:p>
  </w:footnote>
  <w:footnote w:id="7">
    <w:p w14:paraId="63E3A457" w14:textId="57CC8654" w:rsidR="006E5B62" w:rsidRDefault="006E5B62" w:rsidP="006E5B62">
      <w:pPr>
        <w:pStyle w:val="Textodenotaderodap"/>
      </w:pPr>
      <w:r>
        <w:rPr>
          <w:rStyle w:val="Refdenotaderodap"/>
        </w:rPr>
        <w:footnoteRef/>
      </w:r>
      <w:r>
        <w:t xml:space="preserve"> Michel Foucault, Segurança, Território, População (2008).</w:t>
      </w:r>
    </w:p>
  </w:footnote>
  <w:footnote w:id="8">
    <w:p w14:paraId="63D729A8" w14:textId="76D31C54" w:rsidR="00412F81" w:rsidRDefault="00412F81">
      <w:pPr>
        <w:pStyle w:val="Textodenotaderodap"/>
      </w:pPr>
      <w:r>
        <w:rPr>
          <w:rStyle w:val="Refdenotaderodap"/>
        </w:rPr>
        <w:footnoteRef/>
      </w:r>
      <w:r>
        <w:t xml:space="preserve"> </w:t>
      </w:r>
      <w:r w:rsidR="00CC4683" w:rsidRPr="00CC4683">
        <w:t>Flávio William S. Costa. Dissertação (Mestrado em Desenvolvimento Regional) — Programa de Pós‑Graduação em Desenvolvimento Regional, Universidade Regional de Blumenau (FURB), 2021</w:t>
      </w:r>
    </w:p>
  </w:footnote>
  <w:footnote w:id="9">
    <w:p w14:paraId="27AD55D7" w14:textId="50A58DE0" w:rsidR="006D644B" w:rsidRDefault="006D644B">
      <w:pPr>
        <w:pStyle w:val="Textodenotaderodap"/>
      </w:pPr>
      <w:r>
        <w:rPr>
          <w:rStyle w:val="Refdenotaderodap"/>
        </w:rPr>
        <w:footnoteRef/>
      </w:r>
      <w:r>
        <w:t xml:space="preserve"> </w:t>
      </w:r>
      <w:r w:rsidRPr="006D644B">
        <w:t>Achille Mbembe, Necropolítica (2018).</w:t>
      </w:r>
      <w:r>
        <w:t xml:space="preserve"> </w:t>
      </w:r>
    </w:p>
  </w:footnote>
  <w:footnote w:id="10">
    <w:p w14:paraId="1BC5E70E" w14:textId="77777777" w:rsidR="0012523D" w:rsidRDefault="0012523D" w:rsidP="0012523D">
      <w:pPr>
        <w:pStyle w:val="Textodenotaderodap"/>
      </w:pPr>
      <w:r>
        <w:rPr>
          <w:rStyle w:val="Refdenotaderodap"/>
        </w:rPr>
        <w:footnoteRef/>
      </w:r>
      <w:r>
        <w:t xml:space="preserve"> Nelson Maldonado‑Torres, On the Coloniality of Being (2007); Rita Laura Segato, La Guerra Contra las Mujeres (2016).</w:t>
      </w:r>
    </w:p>
    <w:p w14:paraId="72328740" w14:textId="0AEDCDD5" w:rsidR="0012523D" w:rsidRDefault="0012523D" w:rsidP="0012523D">
      <w:pPr>
        <w:pStyle w:val="Textodenotaderodap"/>
      </w:pPr>
      <w:r>
        <w:t xml:space="preserve">  </w:t>
      </w:r>
    </w:p>
  </w:footnote>
  <w:footnote w:id="11">
    <w:p w14:paraId="09A9E53F" w14:textId="61826CB2" w:rsidR="003A2429" w:rsidRDefault="003A2429">
      <w:pPr>
        <w:pStyle w:val="Textodenotaderodap"/>
      </w:pPr>
      <w:r>
        <w:rPr>
          <w:rStyle w:val="Refdenotaderodap"/>
        </w:rPr>
        <w:footnoteRef/>
      </w:r>
      <w:r>
        <w:t xml:space="preserve"> </w:t>
      </w:r>
      <w:r w:rsidRPr="003A2429">
        <w:t>Sueli Carneiro, Racismo, Sexismo e Desigualdade no Brasil (2011).</w:t>
      </w:r>
      <w:r>
        <w:t xml:space="preserve"> </w:t>
      </w:r>
    </w:p>
  </w:footnote>
  <w:footnote w:id="12">
    <w:p w14:paraId="50A883C5" w14:textId="260228A8" w:rsidR="008F0B8D" w:rsidRDefault="008F0B8D" w:rsidP="00723066">
      <w:pPr>
        <w:pStyle w:val="Textodenotaderodap"/>
        <w:jc w:val="left"/>
      </w:pPr>
      <w:r>
        <w:rPr>
          <w:rStyle w:val="Refdenotaderodap"/>
        </w:rPr>
        <w:footnoteRef/>
      </w:r>
      <w:r>
        <w:t xml:space="preserve"> Kimberlé Crenshaw, “Mapping the Margins” (1991); Patricia Hill Collins, Black Feminist Thought (2000).  </w:t>
      </w:r>
    </w:p>
  </w:footnote>
  <w:footnote w:id="13">
    <w:p w14:paraId="5F9566CD" w14:textId="793D3842" w:rsidR="0007635C" w:rsidRDefault="0007635C" w:rsidP="00723066">
      <w:pPr>
        <w:pStyle w:val="Textodenotaderodap"/>
        <w:jc w:val="left"/>
      </w:pPr>
      <w:r>
        <w:rPr>
          <w:rStyle w:val="Refdenotaderodap"/>
        </w:rPr>
        <w:footnoteRef/>
      </w:r>
      <w:r>
        <w:t xml:space="preserve"> </w:t>
      </w:r>
      <w:r w:rsidRPr="0007635C">
        <w:t>Saskia Sassen, Expulsions (2014).</w:t>
      </w:r>
      <w:r>
        <w:t xml:space="preserve"> </w:t>
      </w:r>
    </w:p>
  </w:footnote>
  <w:footnote w:id="14">
    <w:p w14:paraId="640AF9D3" w14:textId="59BD7094" w:rsidR="00723066" w:rsidRDefault="00723066" w:rsidP="00723066">
      <w:pPr>
        <w:pStyle w:val="Textodenotaderodap"/>
        <w:jc w:val="left"/>
      </w:pPr>
      <w:r>
        <w:rPr>
          <w:rStyle w:val="Refdenotaderodap"/>
        </w:rPr>
        <w:footnoteRef/>
      </w:r>
      <w:r>
        <w:t xml:space="preserve"> </w:t>
      </w:r>
      <w:r w:rsidRPr="00723066">
        <w:t>Carlos Hasenbalg, Discriminação e Desigualdades Raciais no Brasil (1979); Antonio Sérgio Guimarães, Racismo e Antirracismo no Brasil (1999).</w:t>
      </w:r>
    </w:p>
  </w:footnote>
  <w:footnote w:id="15">
    <w:p w14:paraId="2E5380A5" w14:textId="2842B756" w:rsidR="00447BB5" w:rsidRDefault="00447BB5" w:rsidP="00736F76">
      <w:pPr>
        <w:pStyle w:val="Textodenotaderodap"/>
      </w:pPr>
      <w:r>
        <w:rPr>
          <w:rStyle w:val="Refdenotaderodap"/>
        </w:rPr>
        <w:footnoteRef/>
      </w:r>
      <w:r w:rsidR="00736F76">
        <w:t xml:space="preserve"> Judith Butler, Quadros de Guerra (2015). </w:t>
      </w:r>
    </w:p>
  </w:footnote>
  <w:footnote w:id="16">
    <w:p w14:paraId="4B02F549" w14:textId="62476B30" w:rsidR="00736F76" w:rsidRDefault="00736F76">
      <w:pPr>
        <w:pStyle w:val="Textodenotaderodap"/>
      </w:pPr>
      <w:r>
        <w:rPr>
          <w:rStyle w:val="Refdenotaderodap"/>
        </w:rPr>
        <w:footnoteRef/>
      </w:r>
      <w:r>
        <w:t xml:space="preserve"> </w:t>
      </w:r>
      <w:r w:rsidRPr="00736F76">
        <w:t>Avtar Brah, Cartografias de Diáspora (2006).</w:t>
      </w:r>
    </w:p>
  </w:footnote>
  <w:footnote w:id="17">
    <w:p w14:paraId="79E7A938" w14:textId="08EC302E" w:rsidR="00A20C39" w:rsidRDefault="00A20C39">
      <w:pPr>
        <w:pStyle w:val="Textodenotaderodap"/>
      </w:pPr>
      <w:r>
        <w:rPr>
          <w:rStyle w:val="Refdenotaderodap"/>
        </w:rPr>
        <w:footnoteRef/>
      </w:r>
      <w:r w:rsidRPr="00A20C39">
        <w:t xml:space="preserve">Howard Becker, Outsiders (2008). </w:t>
      </w:r>
      <w:r>
        <w:t xml:space="preserve"> </w:t>
      </w:r>
    </w:p>
  </w:footnote>
  <w:footnote w:id="18">
    <w:p w14:paraId="61C6669D" w14:textId="3F8B83AA" w:rsidR="0099651B" w:rsidRDefault="0099651B" w:rsidP="0099651B">
      <w:pPr>
        <w:pStyle w:val="Textodenotaderodap"/>
      </w:pPr>
      <w:r>
        <w:rPr>
          <w:rStyle w:val="Refdenotaderodap"/>
        </w:rPr>
        <w:footnoteRef/>
      </w:r>
      <w:r>
        <w:t xml:space="preserve">Erving Goffman, A Representação do Eu na Vida Cotidiana (2009); Harold Garfinkel, Studies in Ethnomethodology (1984). </w:t>
      </w:r>
    </w:p>
  </w:footnote>
  <w:footnote w:id="19">
    <w:p w14:paraId="30A0492E" w14:textId="4DBBEC86" w:rsidR="00D14D5D" w:rsidRDefault="00D14D5D">
      <w:pPr>
        <w:pStyle w:val="Textodenotaderodap"/>
      </w:pPr>
      <w:r>
        <w:rPr>
          <w:rStyle w:val="Refdenotaderodap"/>
        </w:rPr>
        <w:footnoteRef/>
      </w:r>
      <w:r w:rsidRPr="00D14D5D">
        <w:t>Judith Butler, Quadros de Guerra (2015).</w:t>
      </w:r>
    </w:p>
  </w:footnote>
  <w:footnote w:id="20">
    <w:p w14:paraId="61A57B69" w14:textId="70B29CA1" w:rsidR="00BF0A57" w:rsidRDefault="00BF0A57" w:rsidP="00BF0A57">
      <w:pPr>
        <w:pStyle w:val="Textodenotaderodap"/>
      </w:pPr>
      <w:r>
        <w:rPr>
          <w:rStyle w:val="Refdenotaderodap"/>
        </w:rPr>
        <w:footnoteRef/>
      </w:r>
      <w:r>
        <w:t xml:space="preserve"> Gayatri Spivak, Pode o Subalterno Falar? (2010).</w:t>
      </w:r>
    </w:p>
  </w:footnote>
  <w:footnote w:id="21">
    <w:p w14:paraId="09E2D4B0" w14:textId="2E8ADE22" w:rsidR="00BF0A57" w:rsidRDefault="00BF0A57" w:rsidP="00BF0A57">
      <w:pPr>
        <w:pStyle w:val="Textodenotaderodap"/>
      </w:pPr>
      <w:r>
        <w:rPr>
          <w:rStyle w:val="Refdenotaderodap"/>
        </w:rPr>
        <w:footnoteRef/>
      </w:r>
      <w:r>
        <w:t xml:space="preserve"> Dipesh Chakrabarty, Provincializing Europe (2000). </w:t>
      </w:r>
    </w:p>
  </w:footnote>
  <w:footnote w:id="22">
    <w:p w14:paraId="06824CCD" w14:textId="0668327A" w:rsidR="00B1155B" w:rsidRDefault="00B1155B">
      <w:pPr>
        <w:pStyle w:val="Textodenotaderodap"/>
      </w:pPr>
      <w:r>
        <w:rPr>
          <w:rStyle w:val="Refdenotaderodap"/>
        </w:rPr>
        <w:footnoteRef/>
      </w:r>
      <w:r w:rsidRPr="00B1155B">
        <w:t xml:space="preserve">  Antônio Flávio Pierucci, Ciladas da Diferença (1999).</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1F6AC" w14:textId="77777777" w:rsidR="00353A79" w:rsidRDefault="00353A79">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33E8" w14:textId="77777777" w:rsidR="00353A79" w:rsidRDefault="00353A79">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79"/>
    <w:rsid w:val="0007414F"/>
    <w:rsid w:val="0007635C"/>
    <w:rsid w:val="0009397D"/>
    <w:rsid w:val="00114FCB"/>
    <w:rsid w:val="0012523D"/>
    <w:rsid w:val="001310E6"/>
    <w:rsid w:val="001344A3"/>
    <w:rsid w:val="00304B37"/>
    <w:rsid w:val="00353A79"/>
    <w:rsid w:val="00386DF5"/>
    <w:rsid w:val="003A2429"/>
    <w:rsid w:val="003B1018"/>
    <w:rsid w:val="0041072D"/>
    <w:rsid w:val="00412F81"/>
    <w:rsid w:val="00447BB5"/>
    <w:rsid w:val="00482D7E"/>
    <w:rsid w:val="004F7DEF"/>
    <w:rsid w:val="005150E3"/>
    <w:rsid w:val="00544442"/>
    <w:rsid w:val="005936BC"/>
    <w:rsid w:val="006C3D8A"/>
    <w:rsid w:val="006D644B"/>
    <w:rsid w:val="006E5B62"/>
    <w:rsid w:val="00723066"/>
    <w:rsid w:val="00736F76"/>
    <w:rsid w:val="007A6DFF"/>
    <w:rsid w:val="007B3D65"/>
    <w:rsid w:val="007C0703"/>
    <w:rsid w:val="008F0B8D"/>
    <w:rsid w:val="00913131"/>
    <w:rsid w:val="00977F3B"/>
    <w:rsid w:val="0099651B"/>
    <w:rsid w:val="009F493E"/>
    <w:rsid w:val="00A20C39"/>
    <w:rsid w:val="00A440D6"/>
    <w:rsid w:val="00A86E71"/>
    <w:rsid w:val="00B1155B"/>
    <w:rsid w:val="00B2174A"/>
    <w:rsid w:val="00B65A65"/>
    <w:rsid w:val="00BF0A57"/>
    <w:rsid w:val="00CC4683"/>
    <w:rsid w:val="00D14D5D"/>
    <w:rsid w:val="00F72887"/>
    <w:rsid w:val="00FC1334"/>
    <w:rsid w:val="00FC6CDB"/>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983BB"/>
  <w15:docId w15:val="{6592D010-C156-4893-816C-08FB1D1F7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Cs w:val="22"/>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ind w:firstLine="709"/>
      <w:jc w:val="both"/>
    </w:pPr>
    <w:rPr>
      <w:rFonts w:ascii="Times New Roman" w:hAnsi="Times New Roman"/>
      <w:sz w:val="24"/>
    </w:rPr>
  </w:style>
  <w:style w:type="paragraph" w:styleId="Ttulo1">
    <w:name w:val="heading 1"/>
    <w:basedOn w:val="Normal"/>
    <w:next w:val="Normal"/>
    <w:uiPriority w:val="9"/>
    <w:qFormat/>
    <w:pPr>
      <w:keepNext/>
      <w:keepLines/>
      <w:spacing w:line="240" w:lineRule="auto"/>
      <w:ind w:firstLine="0"/>
      <w:outlineLvl w:val="0"/>
    </w:pPr>
    <w:rPr>
      <w:b/>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EF459B"/>
  </w:style>
  <w:style w:type="character" w:customStyle="1" w:styleId="RodapChar">
    <w:name w:val="Rodapé Char"/>
    <w:basedOn w:val="Fontepargpadro"/>
    <w:link w:val="Rodap"/>
    <w:uiPriority w:val="99"/>
    <w:qFormat/>
    <w:rsid w:val="00EF459B"/>
  </w:style>
  <w:style w:type="character" w:customStyle="1" w:styleId="Caracteresdenotaderodap">
    <w:name w:val="Caracteres de nota de rodapé"/>
    <w:qFormat/>
    <w:rPr>
      <w:vertAlign w:val="superscript"/>
    </w:rPr>
  </w:style>
  <w:style w:type="character" w:customStyle="1" w:styleId="FootnoteCharacters">
    <w:name w:val="Footnote Characters"/>
    <w:qFormat/>
    <w:rPr>
      <w:vertAlign w:val="superscript"/>
    </w:rPr>
  </w:style>
  <w:style w:type="character" w:customStyle="1" w:styleId="FootnoteCharacters1">
    <w:name w:val="Footnote Characters1"/>
    <w:qFormat/>
    <w:rPr>
      <w:vertAlign w:val="superscript"/>
    </w:rPr>
  </w:style>
  <w:style w:type="character" w:styleId="Refdenotaderodap">
    <w:name w:val="footnote reference"/>
    <w:rPr>
      <w:vertAlign w:val="superscript"/>
    </w:rPr>
  </w:style>
  <w:style w:type="character" w:customStyle="1" w:styleId="Caracteresdenotadefim">
    <w:name w:val="Caracteres de nota de fim"/>
    <w:qFormat/>
    <w:rPr>
      <w:vertAlign w:val="superscript"/>
    </w:rPr>
  </w:style>
  <w:style w:type="character" w:customStyle="1" w:styleId="EndnoteCharacters">
    <w:name w:val="Endnote Characters"/>
    <w:qFormat/>
    <w:rPr>
      <w:vertAlign w:val="superscript"/>
    </w:rPr>
  </w:style>
  <w:style w:type="character" w:customStyle="1" w:styleId="EndnoteCharacters1">
    <w:name w:val="Endnote Characters1"/>
    <w:qFormat/>
    <w:rPr>
      <w:vertAlign w:val="superscript"/>
    </w:rPr>
  </w:style>
  <w:style w:type="character" w:styleId="Refdenotadefim">
    <w:name w:val="endnote reference"/>
    <w:rPr>
      <w:vertAlign w:val="superscript"/>
    </w:rPr>
  </w:style>
  <w:style w:type="character" w:customStyle="1" w:styleId="Hyperlink1">
    <w:name w:val="Hyperlink1"/>
    <w:qFormat/>
    <w:rPr>
      <w:color w:val="000080"/>
      <w:u w:val="single"/>
    </w:rPr>
  </w:style>
  <w:style w:type="paragraph" w:customStyle="1" w:styleId="Heading">
    <w:name w:val="Heading"/>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Cs w:val="24"/>
    </w:rPr>
  </w:style>
  <w:style w:type="paragraph" w:customStyle="1" w:styleId="Index">
    <w:name w:val="Index"/>
    <w:basedOn w:val="Normal"/>
    <w:qFormat/>
    <w:pPr>
      <w:suppressLineNumbers/>
    </w:pPr>
    <w:rPr>
      <w:rFonts w:cs="Lucida Sans"/>
    </w:rPr>
  </w:style>
  <w:style w:type="paragraph" w:styleId="Ttulo">
    <w:name w:val="Title"/>
    <w:basedOn w:val="Normal"/>
    <w:next w:val="Corpodetexto"/>
    <w:uiPriority w:val="10"/>
    <w:qFormat/>
    <w:pPr>
      <w:keepNext/>
      <w:keepLines/>
      <w:spacing w:line="240" w:lineRule="auto"/>
      <w:jc w:val="center"/>
    </w:pPr>
    <w:rPr>
      <w:b/>
      <w:szCs w:val="52"/>
    </w:rPr>
  </w:style>
  <w:style w:type="paragraph" w:customStyle="1" w:styleId="ndice">
    <w:name w:val="Índice"/>
    <w:basedOn w:val="Normal"/>
    <w:qFormat/>
    <w:pPr>
      <w:suppressLineNumbers/>
    </w:pPr>
    <w:rPr>
      <w:rFonts w:cs="Lucida Sans"/>
    </w:rPr>
  </w:style>
  <w:style w:type="paragraph" w:styleId="Subttulo">
    <w:name w:val="Subtitle"/>
    <w:basedOn w:val="Normal"/>
    <w:next w:val="Normal"/>
    <w:uiPriority w:val="11"/>
    <w:qFormat/>
    <w:pPr>
      <w:keepNext/>
      <w:keepLines/>
      <w:spacing w:after="320"/>
    </w:pPr>
    <w:rPr>
      <w:color w:val="666666"/>
      <w:sz w:val="30"/>
      <w:szCs w:val="30"/>
    </w:rPr>
  </w:style>
  <w:style w:type="paragraph" w:customStyle="1" w:styleId="CabealhoeRodap">
    <w:name w:val="Cabeçalho e Rodapé"/>
    <w:basedOn w:val="Normal"/>
    <w:qFormat/>
  </w:style>
  <w:style w:type="paragraph" w:customStyle="1" w:styleId="Cabealhoerodap1">
    <w:name w:val="Cabeçalho e rodapé1"/>
    <w:basedOn w:val="Normal"/>
    <w:qFormat/>
  </w:style>
  <w:style w:type="paragraph" w:customStyle="1" w:styleId="Cabealhoerodap2">
    <w:name w:val="Cabeçalho e rodapé2"/>
    <w:basedOn w:val="Normal"/>
    <w:qFormat/>
  </w:style>
  <w:style w:type="paragraph" w:customStyle="1" w:styleId="Cabealhoerodap3">
    <w:name w:val="Cabeçalho e rodapé3"/>
    <w:basedOn w:val="Normal"/>
    <w:qFormat/>
  </w:style>
  <w:style w:type="paragraph" w:customStyle="1" w:styleId="Cabealhoerodap4">
    <w:name w:val="Cabeçalho e rodapé4"/>
    <w:basedOn w:val="Normal"/>
    <w:qFormat/>
  </w:style>
  <w:style w:type="paragraph" w:customStyle="1" w:styleId="Cabealhoerodap5">
    <w:name w:val="Cabeçalho e rodapé5"/>
    <w:basedOn w:val="Normal"/>
    <w:qFormat/>
  </w:style>
  <w:style w:type="paragraph" w:customStyle="1" w:styleId="Cabealhoerodap6">
    <w:name w:val="Cabeçalho e rodapé6"/>
    <w:basedOn w:val="Normal"/>
    <w:qFormat/>
  </w:style>
  <w:style w:type="paragraph" w:customStyle="1" w:styleId="Cabealhoerodap7">
    <w:name w:val="Cabeçalho e rodapé7"/>
    <w:basedOn w:val="Normal"/>
    <w:qFormat/>
  </w:style>
  <w:style w:type="paragraph" w:customStyle="1" w:styleId="HeaderandFooter">
    <w:name w:val="Header and Footer"/>
    <w:basedOn w:val="Normal"/>
    <w:qFormat/>
  </w:style>
  <w:style w:type="paragraph" w:styleId="Cabealho">
    <w:name w:val="header"/>
    <w:basedOn w:val="Normal"/>
    <w:link w:val="CabealhoChar"/>
    <w:uiPriority w:val="99"/>
    <w:unhideWhenUsed/>
    <w:rsid w:val="00EF459B"/>
    <w:pPr>
      <w:tabs>
        <w:tab w:val="center" w:pos="4252"/>
        <w:tab w:val="right" w:pos="8504"/>
      </w:tabs>
      <w:spacing w:line="240" w:lineRule="auto"/>
    </w:pPr>
  </w:style>
  <w:style w:type="paragraph" w:styleId="Rodap">
    <w:name w:val="footer"/>
    <w:basedOn w:val="Normal"/>
    <w:link w:val="RodapChar"/>
    <w:uiPriority w:val="99"/>
    <w:unhideWhenUsed/>
    <w:rsid w:val="00EF459B"/>
    <w:pPr>
      <w:tabs>
        <w:tab w:val="center" w:pos="4252"/>
        <w:tab w:val="right" w:pos="8504"/>
      </w:tabs>
      <w:spacing w:line="240" w:lineRule="auto"/>
    </w:pPr>
  </w:style>
  <w:style w:type="paragraph" w:styleId="Textodenotaderodap">
    <w:name w:val="footnote text"/>
    <w:basedOn w:val="Normal"/>
    <w:pPr>
      <w:spacing w:line="240" w:lineRule="auto"/>
      <w:ind w:firstLine="0"/>
    </w:pPr>
    <w:rPr>
      <w:sz w:val="20"/>
    </w:rPr>
  </w:style>
  <w:style w:type="paragraph" w:customStyle="1" w:styleId="Contedodatabela">
    <w:name w:val="Conteúdo da tabela"/>
    <w:basedOn w:val="Normal"/>
    <w:qFormat/>
    <w:pPr>
      <w:suppressLineNumbers/>
    </w:pPr>
  </w:style>
  <w:style w:type="paragraph" w:customStyle="1" w:styleId="Contedodoquadro">
    <w:name w:val="Conteúdo do quadro"/>
    <w:basedOn w:val="Normal"/>
    <w:qFormat/>
  </w:style>
  <w:style w:type="paragraph" w:customStyle="1" w:styleId="Bibliografia1">
    <w:name w:val="Bibliografia 1"/>
    <w:basedOn w:val="ndice"/>
    <w:qFormat/>
    <w:pPr>
      <w:tabs>
        <w:tab w:val="right" w:leader="dot" w:pos="9071"/>
      </w:tabs>
      <w:spacing w:line="240" w:lineRule="auto"/>
      <w:ind w:firstLine="0"/>
    </w:p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9A8D8-45E6-420D-913E-8E6B4012D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19</Pages>
  <Words>6598</Words>
  <Characters>35630</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Flávio William</cp:lastModifiedBy>
  <cp:revision>39</cp:revision>
  <dcterms:created xsi:type="dcterms:W3CDTF">2026-04-04T16:12:00Z</dcterms:created>
  <dcterms:modified xsi:type="dcterms:W3CDTF">2026-04-05T22:36:00Z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